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A7325">
      <w:pPr>
        <w:pStyle w:val="23"/>
        <w:widowControl/>
        <w:shd w:val="clear" w:color="auto" w:fill="FFFFFF"/>
        <w:spacing w:before="300" w:after="300" w:line="468" w:lineRule="atLeast"/>
        <w:jc w:val="center"/>
        <w:rPr>
          <w:rFonts w:hint="eastAsia"/>
          <w:kern w:val="0"/>
        </w:rPr>
      </w:pPr>
      <w:r>
        <w:rPr>
          <w:rFonts w:hint="eastAsia"/>
          <w:kern w:val="0"/>
        </w:rPr>
        <w:t>评分标准及要求</w:t>
      </w:r>
    </w:p>
    <w:p w14:paraId="2DB05139">
      <w:pPr>
        <w:pStyle w:val="18"/>
        <w:widowControl/>
        <w:shd w:val="clear" w:color="auto" w:fill="FFFFFF"/>
        <w:spacing w:line="468" w:lineRule="atLeast"/>
        <w:ind w:firstLine="480"/>
        <w:jc w:val="left"/>
        <w:rPr>
          <w:rFonts w:hint="eastAsia"/>
          <w:kern w:val="0"/>
        </w:rPr>
      </w:pPr>
    </w:p>
    <w:tbl>
      <w:tblPr>
        <w:tblStyle w:val="20"/>
        <w:tblW w:w="5000" w:type="pct"/>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9144"/>
      </w:tblGrid>
      <w:tr w14:paraId="4B57EEE7">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shd w:val="clear" w:color="auto" w:fill="FFFFFF"/>
          <w:tblCellMar>
            <w:top w:w="15" w:type="dxa"/>
            <w:left w:w="15" w:type="dxa"/>
            <w:bottom w:w="15" w:type="dxa"/>
            <w:right w:w="15" w:type="dxa"/>
          </w:tblCellMar>
        </w:tblPrEx>
        <w:trPr>
          <w:jc w:val="center"/>
        </w:trPr>
        <w:tc>
          <w:tcPr>
            <w:tcW w:w="0" w:type="auto"/>
            <w:tcBorders>
              <w:top w:val="inset" w:color="808080" w:sz="6" w:space="0"/>
              <w:left w:val="inset" w:color="808080" w:sz="6" w:space="0"/>
              <w:bottom w:val="inset" w:color="808080" w:sz="6" w:space="0"/>
              <w:right w:val="inset" w:color="808080" w:sz="6" w:space="0"/>
            </w:tcBorders>
            <w:shd w:val="clear" w:color="auto" w:fill="FFFFFF"/>
            <w:tcMar>
              <w:top w:w="112" w:type="dxa"/>
              <w:left w:w="52" w:type="dxa"/>
              <w:bottom w:w="112" w:type="dxa"/>
              <w:right w:w="52" w:type="dxa"/>
            </w:tcMar>
            <w:vAlign w:val="center"/>
          </w:tcPr>
          <w:p w14:paraId="57D8AC89">
            <w:pPr>
              <w:pStyle w:val="13"/>
              <w:widowControl/>
              <w:ind w:left="150" w:right="150"/>
              <w:jc w:val="left"/>
              <w:rPr>
                <w:rFonts w:hint="eastAsia" w:ascii="宋体" w:hAnsi="宋体" w:eastAsia="宋体" w:cs="宋体"/>
                <w:kern w:val="0"/>
                <w:sz w:val="24"/>
              </w:rPr>
            </w:pPr>
          </w:p>
          <w:tbl>
            <w:tblPr>
              <w:tblStyle w:val="20"/>
              <w:tblW w:w="9024"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1042"/>
              <w:gridCol w:w="1142"/>
              <w:gridCol w:w="1745"/>
              <w:gridCol w:w="2076"/>
              <w:gridCol w:w="2076"/>
              <w:gridCol w:w="943"/>
            </w:tblGrid>
            <w:tr w14:paraId="439D2E14">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jc w:val="center"/>
              </w:trPr>
              <w:tc>
                <w:tcPr>
                  <w:tcW w:w="1042"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2E5FE780">
                  <w:pPr>
                    <w:widowControl/>
                    <w:spacing w:line="468" w:lineRule="atLeast"/>
                    <w:jc w:val="center"/>
                    <w:rPr>
                      <w:rFonts w:hint="eastAsia" w:ascii="宋体" w:hAnsi="宋体" w:eastAsia="宋体" w:cs="宋体"/>
                      <w:b/>
                      <w:bCs/>
                      <w:kern w:val="0"/>
                      <w:sz w:val="24"/>
                    </w:rPr>
                  </w:pPr>
                  <w:r>
                    <w:rPr>
                      <w:rFonts w:ascii="宋体" w:hAnsi="宋体" w:eastAsia="宋体" w:cs="宋体"/>
                      <w:b/>
                      <w:bCs/>
                      <w:kern w:val="0"/>
                      <w:sz w:val="24"/>
                    </w:rPr>
                    <w:t>序号</w:t>
                  </w:r>
                </w:p>
              </w:tc>
              <w:tc>
                <w:tcPr>
                  <w:tcW w:w="2887" w:type="dxa"/>
                  <w:gridSpan w:val="2"/>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040EA46">
                  <w:pPr>
                    <w:widowControl/>
                    <w:spacing w:line="468" w:lineRule="atLeast"/>
                    <w:jc w:val="center"/>
                    <w:rPr>
                      <w:rFonts w:hint="eastAsia" w:ascii="宋体" w:hAnsi="宋体" w:eastAsia="宋体" w:cs="宋体"/>
                      <w:b/>
                      <w:bCs/>
                      <w:kern w:val="0"/>
                      <w:sz w:val="24"/>
                    </w:rPr>
                  </w:pPr>
                  <w:r>
                    <w:rPr>
                      <w:rFonts w:ascii="宋体" w:hAnsi="宋体" w:eastAsia="宋体" w:cs="宋体"/>
                      <w:b/>
                      <w:bCs/>
                      <w:kern w:val="0"/>
                      <w:sz w:val="24"/>
                    </w:rPr>
                    <w:t>评分项</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456851ED">
                  <w:pPr>
                    <w:widowControl/>
                    <w:spacing w:line="468" w:lineRule="atLeast"/>
                    <w:jc w:val="center"/>
                    <w:rPr>
                      <w:rFonts w:hint="eastAsia" w:ascii="宋体" w:hAnsi="宋体" w:eastAsia="宋体" w:cs="宋体"/>
                      <w:b/>
                      <w:bCs/>
                      <w:kern w:val="0"/>
                      <w:sz w:val="24"/>
                    </w:rPr>
                  </w:pPr>
                  <w:r>
                    <w:rPr>
                      <w:rFonts w:ascii="宋体" w:hAnsi="宋体" w:eastAsia="宋体" w:cs="宋体"/>
                      <w:b/>
                      <w:bCs/>
                      <w:kern w:val="0"/>
                      <w:sz w:val="24"/>
                    </w:rPr>
                    <w:t>评分标准</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4E1BCA69">
                  <w:pPr>
                    <w:widowControl/>
                    <w:spacing w:line="468" w:lineRule="atLeast"/>
                    <w:jc w:val="center"/>
                    <w:rPr>
                      <w:rFonts w:hint="eastAsia" w:ascii="宋体" w:hAnsi="宋体" w:eastAsia="宋体" w:cs="宋体"/>
                      <w:b/>
                      <w:bCs/>
                      <w:kern w:val="0"/>
                      <w:sz w:val="24"/>
                    </w:rPr>
                  </w:pPr>
                  <w:r>
                    <w:rPr>
                      <w:rFonts w:ascii="宋体" w:hAnsi="宋体" w:eastAsia="宋体" w:cs="宋体"/>
                      <w:b/>
                      <w:bCs/>
                      <w:kern w:val="0"/>
                      <w:sz w:val="24"/>
                    </w:rPr>
                    <w:t>评分依据</w:t>
                  </w:r>
                </w:p>
              </w:tc>
              <w:tc>
                <w:tcPr>
                  <w:tcW w:w="943"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1B310BC4">
                  <w:pPr>
                    <w:widowControl/>
                    <w:spacing w:line="468" w:lineRule="atLeast"/>
                    <w:jc w:val="center"/>
                    <w:rPr>
                      <w:rFonts w:hint="eastAsia" w:ascii="宋体" w:hAnsi="宋体" w:eastAsia="宋体" w:cs="宋体"/>
                      <w:b/>
                      <w:bCs/>
                      <w:kern w:val="0"/>
                      <w:sz w:val="24"/>
                    </w:rPr>
                  </w:pPr>
                  <w:r>
                    <w:rPr>
                      <w:rFonts w:ascii="宋体" w:hAnsi="宋体" w:eastAsia="宋体" w:cs="宋体"/>
                      <w:b/>
                      <w:bCs/>
                      <w:kern w:val="0"/>
                      <w:sz w:val="24"/>
                    </w:rPr>
                    <w:t>分值权重</w:t>
                  </w:r>
                </w:p>
              </w:tc>
            </w:tr>
            <w:tr w14:paraId="10092852">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jc w:val="center"/>
              </w:trPr>
              <w:tc>
                <w:tcPr>
                  <w:tcW w:w="1042"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7FFD80DD">
                  <w:pPr>
                    <w:widowControl/>
                    <w:spacing w:line="468" w:lineRule="atLeast"/>
                    <w:jc w:val="center"/>
                    <w:rPr>
                      <w:rFonts w:hint="eastAsia" w:ascii="宋体" w:hAnsi="宋体" w:eastAsia="宋体" w:cs="宋体"/>
                      <w:kern w:val="0"/>
                      <w:sz w:val="24"/>
                    </w:rPr>
                  </w:pPr>
                  <w:r>
                    <w:rPr>
                      <w:rFonts w:ascii="宋体" w:hAnsi="宋体" w:eastAsia="宋体" w:cs="宋体"/>
                      <w:kern w:val="0"/>
                      <w:sz w:val="24"/>
                    </w:rPr>
                    <w:t>1</w:t>
                  </w:r>
                </w:p>
              </w:tc>
              <w:tc>
                <w:tcPr>
                  <w:tcW w:w="1142" w:type="dxa"/>
                  <w:vMerge w:val="restart"/>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B45A90E">
                  <w:pPr>
                    <w:widowControl/>
                    <w:spacing w:line="468" w:lineRule="atLeast"/>
                    <w:jc w:val="left"/>
                    <w:rPr>
                      <w:rFonts w:hint="eastAsia" w:ascii="宋体" w:hAnsi="宋体" w:eastAsia="宋体" w:cs="宋体"/>
                      <w:kern w:val="0"/>
                      <w:sz w:val="24"/>
                    </w:rPr>
                  </w:pPr>
                  <w:r>
                    <w:rPr>
                      <w:rFonts w:ascii="宋体" w:hAnsi="宋体" w:eastAsia="宋体" w:cs="宋体"/>
                      <w:kern w:val="0"/>
                      <w:sz w:val="24"/>
                    </w:rPr>
                    <w:t>技术分</w:t>
                  </w:r>
                </w:p>
              </w:tc>
              <w:tc>
                <w:tcPr>
                  <w:tcW w:w="1745"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7A7340D8">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服务方案评价</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28B989A">
                  <w:pPr>
                    <w:pStyle w:val="19"/>
                    <w:widowControl/>
                    <w:jc w:val="left"/>
                    <w:rPr>
                      <w:rFonts w:hint="eastAsia" w:ascii="宋体" w:hAnsi="宋体" w:eastAsia="宋体" w:cs="宋体"/>
                      <w:color w:val="20A0FF"/>
                      <w:kern w:val="0"/>
                    </w:rPr>
                  </w:pPr>
                  <w:r>
                    <w:rPr>
                      <w:rFonts w:ascii="宋体" w:hAnsi="宋体" w:eastAsia="宋体" w:cs="宋体"/>
                      <w:color w:val="20A0FF"/>
                      <w:kern w:val="0"/>
                    </w:rPr>
                    <w:t>根据供应商提供的服务方案进行评估： (1)服务方案是否完整详尽，可操作性强，服务模块和专业性强，涵盖点评运营的专业服务以及米其林和黑珍珠有帮助的一些行业媒体资源 (2)制定推广方案、品牌策略、宣传重点、公关计划，系统性邀请媒体/KOL/业内人士的市场影响力 公关建立与维护并有效执行 (3)协助餐厅进行品牌定位、整体新闻稿发布、招牌菜品介绍、调整试菜等准备项目 (4)综上优得</w:t>
                  </w:r>
                  <w:r>
                    <w:rPr>
                      <w:rFonts w:hint="eastAsia" w:ascii="宋体" w:hAnsi="宋体" w:eastAsia="宋体" w:cs="宋体"/>
                      <w:color w:val="20A0FF"/>
                      <w:kern w:val="0"/>
                    </w:rPr>
                    <w:t>25-40</w:t>
                  </w:r>
                  <w:r>
                    <w:rPr>
                      <w:rFonts w:ascii="宋体" w:hAnsi="宋体" w:eastAsia="宋体" w:cs="宋体"/>
                      <w:color w:val="20A0FF"/>
                      <w:kern w:val="0"/>
                    </w:rPr>
                    <w:t>分，良得</w:t>
                  </w:r>
                  <w:r>
                    <w:rPr>
                      <w:rFonts w:hint="eastAsia" w:ascii="宋体" w:hAnsi="宋体" w:eastAsia="宋体" w:cs="宋体"/>
                      <w:color w:val="20A0FF"/>
                      <w:kern w:val="0"/>
                    </w:rPr>
                    <w:t>15-24</w:t>
                  </w:r>
                  <w:r>
                    <w:rPr>
                      <w:rFonts w:ascii="宋体" w:hAnsi="宋体" w:eastAsia="宋体" w:cs="宋体"/>
                      <w:color w:val="20A0FF"/>
                      <w:kern w:val="0"/>
                    </w:rPr>
                    <w:t>分，一般的得</w:t>
                  </w:r>
                  <w:r>
                    <w:rPr>
                      <w:rFonts w:hint="eastAsia" w:ascii="宋体" w:hAnsi="宋体" w:eastAsia="宋体" w:cs="宋体"/>
                      <w:color w:val="20A0FF"/>
                      <w:kern w:val="0"/>
                    </w:rPr>
                    <w:t>1-14</w:t>
                  </w:r>
                  <w:r>
                    <w:rPr>
                      <w:rFonts w:ascii="宋体" w:hAnsi="宋体" w:eastAsia="宋体" w:cs="宋体"/>
                      <w:color w:val="20A0FF"/>
                      <w:kern w:val="0"/>
                    </w:rPr>
                    <w:t>分，方案总体较差的不得分。</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06A28C8">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服务方案</w:t>
                  </w:r>
                </w:p>
              </w:tc>
              <w:tc>
                <w:tcPr>
                  <w:tcW w:w="943"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73AB5C84">
                  <w:pPr>
                    <w:pStyle w:val="19"/>
                    <w:widowControl/>
                    <w:jc w:val="left"/>
                    <w:rPr>
                      <w:rFonts w:hint="eastAsia" w:ascii="宋体" w:hAnsi="宋体" w:eastAsia="宋体" w:cs="宋体"/>
                      <w:color w:val="20A0FF"/>
                      <w:kern w:val="0"/>
                    </w:rPr>
                  </w:pPr>
                  <w:r>
                    <w:rPr>
                      <w:rFonts w:hint="eastAsia" w:ascii="宋体" w:hAnsi="宋体" w:eastAsia="宋体" w:cs="宋体"/>
                      <w:color w:val="20A0FF"/>
                      <w:kern w:val="0"/>
                    </w:rPr>
                    <w:t>40</w:t>
                  </w:r>
                </w:p>
              </w:tc>
            </w:tr>
            <w:tr w14:paraId="2531D2FE">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jc w:val="center"/>
              </w:trPr>
              <w:tc>
                <w:tcPr>
                  <w:tcW w:w="1042"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4A5C88B6">
                  <w:pPr>
                    <w:widowControl/>
                    <w:spacing w:line="468" w:lineRule="atLeast"/>
                    <w:jc w:val="center"/>
                    <w:rPr>
                      <w:rFonts w:hint="eastAsia" w:ascii="宋体" w:hAnsi="宋体" w:eastAsia="宋体" w:cs="宋体"/>
                      <w:kern w:val="0"/>
                      <w:sz w:val="24"/>
                    </w:rPr>
                  </w:pPr>
                  <w:r>
                    <w:rPr>
                      <w:rFonts w:ascii="宋体" w:hAnsi="宋体" w:eastAsia="宋体" w:cs="宋体"/>
                      <w:kern w:val="0"/>
                      <w:sz w:val="24"/>
                    </w:rPr>
                    <w:t>2</w:t>
                  </w:r>
                </w:p>
              </w:tc>
              <w:tc>
                <w:tcPr>
                  <w:tcW w:w="1142" w:type="dxa"/>
                  <w:vMerge w:val="continue"/>
                  <w:tcBorders>
                    <w:top w:val="inset" w:color="808080" w:sz="6" w:space="0"/>
                    <w:left w:val="inset" w:color="808080" w:sz="6" w:space="0"/>
                    <w:bottom w:val="inset" w:color="808080" w:sz="6" w:space="0"/>
                    <w:right w:val="inset" w:color="808080" w:sz="6" w:space="0"/>
                  </w:tcBorders>
                  <w:vAlign w:val="center"/>
                </w:tcPr>
                <w:p w14:paraId="5AF58D6D">
                  <w:pPr>
                    <w:rPr>
                      <w:rFonts w:hint="eastAsia" w:ascii="宋体" w:hAnsi="宋体" w:eastAsia="宋体" w:cs="宋体"/>
                      <w:kern w:val="0"/>
                      <w:sz w:val="24"/>
                    </w:rPr>
                  </w:pPr>
                </w:p>
              </w:tc>
              <w:tc>
                <w:tcPr>
                  <w:tcW w:w="1745"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193F6A3D">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活动方案质量</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0DB5F42">
                  <w:pPr>
                    <w:pStyle w:val="19"/>
                    <w:widowControl/>
                    <w:jc w:val="left"/>
                    <w:rPr>
                      <w:rFonts w:hint="eastAsia" w:ascii="宋体" w:hAnsi="宋体" w:eastAsia="宋体" w:cs="宋体"/>
                      <w:color w:val="20A0FF"/>
                      <w:kern w:val="0"/>
                    </w:rPr>
                  </w:pPr>
                  <w:r>
                    <w:rPr>
                      <w:rFonts w:ascii="宋体" w:hAnsi="宋体" w:eastAsia="宋体" w:cs="宋体"/>
                      <w:color w:val="20A0FF"/>
                      <w:kern w:val="0"/>
                    </w:rPr>
                    <w:t>(1)特邀活动黑珍珠或米其林客座主厨的市场影响力及餐厅影响力的大小 (2)与本酒店联合举办四手主厨推广或者客座调酒师活动举办的场次数量 综上 优得</w:t>
                  </w:r>
                  <w:r>
                    <w:rPr>
                      <w:rFonts w:hint="eastAsia" w:ascii="宋体" w:hAnsi="宋体" w:eastAsia="宋体" w:cs="宋体"/>
                      <w:color w:val="20A0FF"/>
                      <w:kern w:val="0"/>
                    </w:rPr>
                    <w:t>25-40</w:t>
                  </w:r>
                  <w:r>
                    <w:rPr>
                      <w:rFonts w:ascii="宋体" w:hAnsi="宋体" w:eastAsia="宋体" w:cs="宋体"/>
                      <w:color w:val="20A0FF"/>
                      <w:kern w:val="0"/>
                    </w:rPr>
                    <w:t>分，良得</w:t>
                  </w:r>
                  <w:r>
                    <w:rPr>
                      <w:rFonts w:hint="eastAsia" w:ascii="宋体" w:hAnsi="宋体" w:eastAsia="宋体" w:cs="宋体"/>
                      <w:color w:val="20A0FF"/>
                      <w:kern w:val="0"/>
                    </w:rPr>
                    <w:t>15-24</w:t>
                  </w:r>
                  <w:r>
                    <w:rPr>
                      <w:rFonts w:ascii="宋体" w:hAnsi="宋体" w:eastAsia="宋体" w:cs="宋体"/>
                      <w:color w:val="20A0FF"/>
                      <w:kern w:val="0"/>
                    </w:rPr>
                    <w:t>分，一般的得</w:t>
                  </w:r>
                  <w:r>
                    <w:rPr>
                      <w:rFonts w:hint="eastAsia" w:ascii="宋体" w:hAnsi="宋体" w:eastAsia="宋体" w:cs="宋体"/>
                      <w:color w:val="20A0FF"/>
                      <w:kern w:val="0"/>
                    </w:rPr>
                    <w:t>1-14</w:t>
                  </w:r>
                  <w:r>
                    <w:rPr>
                      <w:rFonts w:ascii="宋体" w:hAnsi="宋体" w:eastAsia="宋体" w:cs="宋体"/>
                      <w:color w:val="20A0FF"/>
                      <w:kern w:val="0"/>
                    </w:rPr>
                    <w:t>分，方案总体较差的不得分。</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6AE22A2F">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活动方案</w:t>
                  </w:r>
                </w:p>
              </w:tc>
              <w:tc>
                <w:tcPr>
                  <w:tcW w:w="943"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01794AA8">
                  <w:pPr>
                    <w:pStyle w:val="19"/>
                    <w:widowControl/>
                    <w:jc w:val="left"/>
                    <w:rPr>
                      <w:rFonts w:hint="eastAsia" w:ascii="宋体" w:hAnsi="宋体" w:eastAsia="宋体" w:cs="宋体"/>
                      <w:color w:val="20A0FF"/>
                      <w:kern w:val="0"/>
                    </w:rPr>
                  </w:pPr>
                  <w:r>
                    <w:rPr>
                      <w:rFonts w:hint="eastAsia" w:ascii="宋体" w:hAnsi="宋体" w:eastAsia="宋体" w:cs="宋体"/>
                      <w:color w:val="20A0FF"/>
                      <w:kern w:val="0"/>
                    </w:rPr>
                    <w:t>40</w:t>
                  </w:r>
                </w:p>
              </w:tc>
            </w:tr>
            <w:tr w14:paraId="3FD4F967">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jc w:val="center"/>
              </w:trPr>
              <w:tc>
                <w:tcPr>
                  <w:tcW w:w="1042"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03782A74">
                  <w:pPr>
                    <w:widowControl/>
                    <w:spacing w:line="468" w:lineRule="atLeast"/>
                    <w:jc w:val="center"/>
                    <w:rPr>
                      <w:rFonts w:hint="eastAsia" w:ascii="宋体" w:hAnsi="宋体" w:eastAsia="宋体" w:cs="宋体"/>
                      <w:kern w:val="0"/>
                      <w:sz w:val="24"/>
                    </w:rPr>
                  </w:pPr>
                  <w:r>
                    <w:rPr>
                      <w:rFonts w:ascii="宋体" w:hAnsi="宋体" w:eastAsia="宋体" w:cs="宋体"/>
                      <w:kern w:val="0"/>
                      <w:sz w:val="24"/>
                    </w:rPr>
                    <w:t>3</w:t>
                  </w:r>
                </w:p>
              </w:tc>
              <w:tc>
                <w:tcPr>
                  <w:tcW w:w="1142"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4014A65">
                  <w:pPr>
                    <w:widowControl/>
                    <w:spacing w:line="468" w:lineRule="atLeast"/>
                    <w:jc w:val="left"/>
                    <w:rPr>
                      <w:rFonts w:hint="eastAsia" w:ascii="宋体" w:hAnsi="宋体" w:eastAsia="宋体" w:cs="宋体"/>
                      <w:kern w:val="0"/>
                      <w:sz w:val="24"/>
                    </w:rPr>
                  </w:pPr>
                </w:p>
              </w:tc>
              <w:tc>
                <w:tcPr>
                  <w:tcW w:w="1745"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308FC0E6">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合作案例</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15E7FC3B">
                  <w:pPr>
                    <w:pStyle w:val="19"/>
                    <w:widowControl/>
                    <w:jc w:val="left"/>
                    <w:rPr>
                      <w:rFonts w:hint="eastAsia" w:ascii="宋体" w:hAnsi="宋体" w:eastAsia="宋体" w:cs="宋体"/>
                      <w:color w:val="20A0FF"/>
                      <w:kern w:val="0"/>
                    </w:rPr>
                  </w:pPr>
                  <w:r>
                    <w:rPr>
                      <w:rFonts w:ascii="宋体" w:hAnsi="宋体" w:eastAsia="宋体" w:cs="宋体"/>
                      <w:color w:val="20A0FF"/>
                      <w:kern w:val="0"/>
                    </w:rPr>
                    <w:t>提供本公司或隶属分公司的上榜黑珍珠或米其林餐厅的合作案例合同，每份合同得</w:t>
                  </w:r>
                  <w:r>
                    <w:rPr>
                      <w:rFonts w:hint="eastAsia" w:ascii="宋体" w:hAnsi="宋体" w:eastAsia="宋体" w:cs="宋体"/>
                      <w:color w:val="20A0FF"/>
                      <w:kern w:val="0"/>
                    </w:rPr>
                    <w:t>5</w:t>
                  </w:r>
                  <w:r>
                    <w:rPr>
                      <w:rFonts w:ascii="宋体" w:hAnsi="宋体" w:eastAsia="宋体" w:cs="宋体"/>
                      <w:color w:val="20A0FF"/>
                      <w:kern w:val="0"/>
                    </w:rPr>
                    <w:t>分，</w:t>
                  </w:r>
                  <w:r>
                    <w:rPr>
                      <w:rFonts w:hint="eastAsia" w:ascii="宋体" w:hAnsi="宋体" w:eastAsia="宋体" w:cs="宋体"/>
                      <w:color w:val="20A0FF"/>
                      <w:kern w:val="0"/>
                    </w:rPr>
                    <w:t>20</w:t>
                  </w:r>
                  <w:r>
                    <w:rPr>
                      <w:rFonts w:ascii="宋体" w:hAnsi="宋体" w:eastAsia="宋体" w:cs="宋体"/>
                      <w:color w:val="20A0FF"/>
                      <w:kern w:val="0"/>
                    </w:rPr>
                    <w:t>分为限</w:t>
                  </w:r>
                </w:p>
              </w:tc>
              <w:tc>
                <w:tcPr>
                  <w:tcW w:w="2076"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7FC415E5">
                  <w:pPr>
                    <w:widowControl/>
                    <w:spacing w:line="468" w:lineRule="atLeast"/>
                    <w:jc w:val="left"/>
                    <w:rPr>
                      <w:rFonts w:hint="eastAsia" w:ascii="宋体" w:hAnsi="宋体" w:eastAsia="宋体" w:cs="宋体"/>
                      <w:color w:val="20A0FF"/>
                      <w:kern w:val="0"/>
                      <w:sz w:val="24"/>
                    </w:rPr>
                  </w:pPr>
                  <w:r>
                    <w:rPr>
                      <w:rFonts w:ascii="宋体" w:hAnsi="宋体" w:eastAsia="宋体" w:cs="宋体"/>
                      <w:color w:val="20A0FF"/>
                      <w:kern w:val="0"/>
                      <w:sz w:val="24"/>
                    </w:rPr>
                    <w:t>服务案例合同</w:t>
                  </w:r>
                </w:p>
              </w:tc>
              <w:tc>
                <w:tcPr>
                  <w:tcW w:w="943" w:type="dxa"/>
                  <w:tcBorders>
                    <w:top w:val="inset" w:color="808080" w:sz="6" w:space="0"/>
                    <w:left w:val="inset" w:color="808080" w:sz="6" w:space="0"/>
                    <w:bottom w:val="inset" w:color="808080" w:sz="6" w:space="0"/>
                    <w:right w:val="inset" w:color="808080" w:sz="6" w:space="0"/>
                  </w:tcBorders>
                  <w:tcMar>
                    <w:top w:w="112" w:type="dxa"/>
                    <w:left w:w="52" w:type="dxa"/>
                    <w:bottom w:w="112" w:type="dxa"/>
                    <w:right w:w="52" w:type="dxa"/>
                  </w:tcMar>
                  <w:vAlign w:val="center"/>
                </w:tcPr>
                <w:p w14:paraId="2088EC11">
                  <w:pPr>
                    <w:pStyle w:val="19"/>
                    <w:widowControl/>
                    <w:jc w:val="left"/>
                    <w:rPr>
                      <w:rFonts w:hint="eastAsia" w:ascii="宋体" w:hAnsi="宋体" w:eastAsia="宋体" w:cs="宋体"/>
                      <w:color w:val="20A0FF"/>
                      <w:kern w:val="0"/>
                    </w:rPr>
                  </w:pPr>
                  <w:r>
                    <w:rPr>
                      <w:rFonts w:hint="eastAsia" w:ascii="宋体" w:hAnsi="宋体" w:eastAsia="宋体" w:cs="宋体"/>
                      <w:color w:val="20A0FF"/>
                      <w:kern w:val="0"/>
                      <w:lang w:val="en-US" w:eastAsia="zh-CN"/>
                    </w:rPr>
                    <w:t>2</w:t>
                  </w:r>
                  <w:r>
                    <w:rPr>
                      <w:rFonts w:hint="eastAsia" w:ascii="宋体" w:hAnsi="宋体" w:eastAsia="宋体" w:cs="宋体"/>
                      <w:color w:val="20A0FF"/>
                      <w:kern w:val="0"/>
                    </w:rPr>
                    <w:t>0</w:t>
                  </w:r>
                </w:p>
              </w:tc>
            </w:tr>
          </w:tbl>
          <w:p w14:paraId="543D3646">
            <w:pPr>
              <w:pStyle w:val="13"/>
              <w:widowControl/>
              <w:ind w:left="150" w:right="150"/>
              <w:jc w:val="left"/>
              <w:rPr>
                <w:rFonts w:hint="eastAsia" w:ascii="宋体" w:hAnsi="宋体" w:eastAsia="宋体" w:cs="宋体"/>
                <w:kern w:val="0"/>
                <w:sz w:val="24"/>
              </w:rPr>
            </w:pPr>
          </w:p>
        </w:tc>
      </w:tr>
    </w:tbl>
    <w:p w14:paraId="0D650DC6"/>
    <w:sectPr>
      <w:footerReference r:id="rId3" w:type="default"/>
      <w:pgSz w:w="11906" w:h="16838"/>
      <w:pgMar w:top="1460" w:right="1486" w:bottom="1518"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4C6F0">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0FCB9">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390FCB9">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ZiZGFhNDAzMjNjMWVkMTY2MTViMTZlMGQ1YzBkZmUifQ=="/>
  </w:docVars>
  <w:rsids>
    <w:rsidRoot w:val="00960BE6"/>
    <w:rsid w:val="0023496A"/>
    <w:rsid w:val="00710813"/>
    <w:rsid w:val="00960BE6"/>
    <w:rsid w:val="00D531A6"/>
    <w:rsid w:val="1CF93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6">
    <w:name w:val="view_|data-v-10dc91ac"/>
    <w:basedOn w:val="1"/>
    <w:uiPriority w:val="0"/>
    <w:pPr>
      <w:shd w:val="clear" w:color="auto" w:fill="FFFFFF"/>
    </w:pPr>
    <w:rPr>
      <w:shd w:val="clear" w:color="auto" w:fill="FFFFFF"/>
    </w:rPr>
  </w:style>
  <w:style w:type="paragraph" w:customStyle="1" w:styleId="7">
    <w:name w:val="tenderTemplate_|data-v-07c78117"/>
    <w:basedOn w:val="1"/>
    <w:uiPriority w:val="0"/>
    <w:pPr>
      <w:pBdr>
        <w:top w:val="none" w:color="auto" w:sz="0" w:space="31"/>
        <w:left w:val="none" w:color="auto" w:sz="0" w:space="31"/>
        <w:bottom w:val="none" w:color="auto" w:sz="0" w:space="15"/>
        <w:right w:val="none" w:color="auto" w:sz="0" w:space="31"/>
      </w:pBdr>
    </w:pPr>
  </w:style>
  <w:style w:type="paragraph" w:customStyle="1" w:styleId="8">
    <w:name w:val="tenderTemplate_div_|data-v-07c78117"/>
    <w:basedOn w:val="1"/>
    <w:uiPriority w:val="0"/>
    <w:pPr>
      <w:spacing w:line="468" w:lineRule="atLeast"/>
    </w:pPr>
    <w:rPr>
      <w:sz w:val="24"/>
    </w:rPr>
  </w:style>
  <w:style w:type="paragraph" w:customStyle="1" w:styleId="9">
    <w:name w:val="tenderTemplate_coverTitle_|data-v-07c78117"/>
    <w:basedOn w:val="1"/>
    <w:uiPriority w:val="0"/>
    <w:pPr>
      <w:jc w:val="center"/>
    </w:pPr>
    <w:rPr>
      <w:rFonts w:ascii="微软雅黑" w:hAnsi="微软雅黑" w:eastAsia="微软雅黑" w:cs="微软雅黑"/>
      <w:b/>
      <w:bCs/>
      <w:sz w:val="96"/>
      <w:szCs w:val="96"/>
    </w:rPr>
  </w:style>
  <w:style w:type="paragraph" w:customStyle="1" w:styleId="10">
    <w:name w:val="tenderTemplate_cover-table-Title-Container_|data-v-07c78117"/>
    <w:basedOn w:val="1"/>
    <w:uiPriority w:val="0"/>
  </w:style>
  <w:style w:type="table" w:customStyle="1" w:styleId="11">
    <w:name w:val="tenderTemplate_cover-table-Title_|data-v-07c78117"/>
    <w:basedOn w:val="4"/>
    <w:uiPriority w:val="0"/>
  </w:style>
  <w:style w:type="paragraph" w:customStyle="1" w:styleId="12">
    <w:name w:val="tenderTemplate_order0_|data-v-07c78117"/>
    <w:basedOn w:val="1"/>
    <w:uiPriority w:val="0"/>
    <w:pPr>
      <w:jc w:val="center"/>
    </w:pPr>
    <w:rPr>
      <w:rFonts w:ascii="宋体" w:hAnsi="宋体" w:eastAsia="宋体" w:cs="宋体"/>
      <w:b/>
      <w:bCs/>
      <w:sz w:val="44"/>
      <w:szCs w:val="44"/>
    </w:rPr>
  </w:style>
  <w:style w:type="paragraph" w:customStyle="1" w:styleId="13">
    <w:name w:val="tenderTemplate_text-indent2_|data-v-07c78117"/>
    <w:basedOn w:val="1"/>
    <w:uiPriority w:val="0"/>
    <w:pPr>
      <w:spacing w:line="468" w:lineRule="atLeast"/>
      <w:ind w:firstLine="480"/>
    </w:pPr>
  </w:style>
  <w:style w:type="character" w:customStyle="1" w:styleId="14">
    <w:name w:val="fill_|data-v-07c78117"/>
    <w:basedOn w:val="5"/>
    <w:uiPriority w:val="0"/>
    <w:rPr>
      <w:color w:val="20A0FF"/>
    </w:rPr>
  </w:style>
  <w:style w:type="paragraph" w:customStyle="1" w:styleId="15">
    <w:name w:val="tenderTemplate_word_Level_2_title_|data-v-07c78117"/>
    <w:basedOn w:val="1"/>
    <w:uiPriority w:val="0"/>
    <w:pPr>
      <w:ind w:firstLine="480"/>
    </w:pPr>
    <w:rPr>
      <w:b/>
      <w:bCs/>
      <w:sz w:val="24"/>
    </w:rPr>
  </w:style>
  <w:style w:type="paragraph" w:customStyle="1" w:styleId="16">
    <w:name w:val="any"/>
    <w:basedOn w:val="1"/>
    <w:uiPriority w:val="0"/>
  </w:style>
  <w:style w:type="table" w:customStyle="1" w:styleId="17">
    <w:name w:val="any Table"/>
    <w:basedOn w:val="4"/>
    <w:uiPriority w:val="0"/>
  </w:style>
  <w:style w:type="paragraph" w:customStyle="1" w:styleId="18">
    <w:name w:val="tenderTemplate_order2_|data-v-07c78117"/>
    <w:basedOn w:val="1"/>
    <w:uiPriority w:val="0"/>
    <w:rPr>
      <w:rFonts w:ascii="宋体" w:hAnsi="宋体" w:eastAsia="宋体" w:cs="宋体"/>
      <w:b/>
      <w:bCs/>
      <w:sz w:val="24"/>
    </w:rPr>
  </w:style>
  <w:style w:type="paragraph" w:customStyle="1" w:styleId="19">
    <w:name w:val="tenderTemplate_p_|data-v-07c78117"/>
    <w:basedOn w:val="1"/>
    <w:uiPriority w:val="0"/>
    <w:pPr>
      <w:spacing w:line="468" w:lineRule="atLeast"/>
    </w:pPr>
    <w:rPr>
      <w:sz w:val="24"/>
    </w:rPr>
  </w:style>
  <w:style w:type="table" w:customStyle="1" w:styleId="20">
    <w:name w:val="table_|data-v-07c78117"/>
    <w:basedOn w:val="4"/>
    <w:uiPriority w:val="0"/>
  </w:style>
  <w:style w:type="character" w:customStyle="1" w:styleId="21">
    <w:name w:val="redColor_|data-v-07c78117"/>
    <w:basedOn w:val="5"/>
    <w:uiPriority w:val="0"/>
    <w:rPr>
      <w:color w:val="FF0000"/>
    </w:rPr>
  </w:style>
  <w:style w:type="character" w:customStyle="1" w:styleId="22">
    <w:name w:val="any Character"/>
    <w:basedOn w:val="5"/>
    <w:uiPriority w:val="0"/>
  </w:style>
  <w:style w:type="paragraph" w:customStyle="1" w:styleId="23">
    <w:name w:val="tenderTemplate_order1_|data-v-07c78117"/>
    <w:basedOn w:val="1"/>
    <w:uiPriority w:val="0"/>
    <w:pPr>
      <w:ind w:firstLine="480"/>
    </w:pPr>
    <w:rPr>
      <w:rFonts w:ascii="宋体" w:hAnsi="宋体" w:eastAsia="宋体" w:cs="宋体"/>
      <w:b/>
      <w:bCs/>
      <w:sz w:val="32"/>
      <w:szCs w:val="32"/>
    </w:rPr>
  </w:style>
  <w:style w:type="character" w:customStyle="1" w:styleId="24">
    <w:name w:val="font-weight-bold_|data-v-07c78117"/>
    <w:basedOn w:val="5"/>
    <w:uiPriority w:val="0"/>
    <w:rPr>
      <w:b/>
      <w:bCs/>
    </w:rPr>
  </w:style>
  <w:style w:type="character" w:customStyle="1" w:styleId="25">
    <w:name w:val="tenderTemplate_order2_|data-v-07c78117 Character"/>
    <w:basedOn w:val="5"/>
    <w:uiPriority w:val="0"/>
    <w:rPr>
      <w:rFonts w:ascii="宋体" w:hAnsi="宋体" w:eastAsia="宋体" w:cs="宋体"/>
      <w:b/>
      <w:bCs/>
      <w:sz w:val="24"/>
      <w:szCs w:val="24"/>
    </w:rPr>
  </w:style>
  <w:style w:type="paragraph" w:customStyle="1" w:styleId="26">
    <w:name w:val="tenderTemplate_text-indent4_|data-v-07c78117"/>
    <w:basedOn w:val="1"/>
    <w:uiPriority w:val="0"/>
    <w:pPr>
      <w:spacing w:line="468" w:lineRule="atLeast"/>
      <w:ind w:firstLine="960"/>
    </w:pPr>
  </w:style>
  <w:style w:type="paragraph" w:customStyle="1" w:styleId="27">
    <w:name w:val="center_|data-v-07c78117"/>
    <w:basedOn w:val="1"/>
    <w:uiPriority w:val="0"/>
    <w:pPr>
      <w:jc w:val="center"/>
    </w:pPr>
  </w:style>
  <w:style w:type="paragraph" w:customStyle="1" w:styleId="28">
    <w:name w:val="tenderTemplate_model-sign-style_|data-v-07c78117"/>
    <w:basedOn w:val="1"/>
    <w:uiPriority w:val="0"/>
  </w:style>
  <w:style w:type="character" w:customStyle="1" w:styleId="29">
    <w:name w:val="underline-text_|data-v-07c78117"/>
    <w:basedOn w:val="5"/>
    <w:uiPriority w:val="0"/>
  </w:style>
  <w:style w:type="table" w:customStyle="1" w:styleId="30">
    <w:name w:val="center_|data-v-07c78117 Table"/>
    <w:basedOn w:val="4"/>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395</Words>
  <Characters>437</Characters>
  <Lines>16</Lines>
  <Paragraphs>14</Paragraphs>
  <TotalTime>9</TotalTime>
  <ScaleCrop>false</ScaleCrop>
  <LinksUpToDate>false</LinksUpToDate>
  <CharactersWithSpaces>445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2023-08-22T08:08:00Z</dcterms:created>
  <dc:creator>Zhang</dc:creator>
  <cp:lastModifiedBy>WPS_1527854336</cp:lastModifiedBy>
  <dcterms:modified xsi:type="dcterms:W3CDTF">2025-12-30T00:39:13Z</dcterms:modified>
  <dc:title>静态页面</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A363F0E5FD96401BB74F6E820DB5F1AB_12</vt:lpwstr>
  </property>
  <property fmtid="{D5CDD505-2E9C-101B-9397-08002B2CF9AE}" pid="3" name="KSOProductBuildVer">
    <vt:lpwstr>2052-12.1.0.24034</vt:lpwstr>
  </property>
  <property fmtid="{D5CDD505-2E9C-101B-9397-08002B2CF9AE}" pid="4" name="KSOTemplateDocerSaveRecord">
    <vt:lpwstr>eyJoZGlkIjoiN2NlMjFlZDFkYTBlZjRlYjkxYzYyNmE5MjU5YWVhMzQiLCJ1c2VySWQiOiIzNzUzOTc5NjIifQ==</vt:lpwstr>
  </property>
</Properties>
</file>