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C6D741">
      <w:pPr>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560" w:lineRule="exact"/>
        <w:textAlignment w:val="auto"/>
        <w:rPr>
          <w:rFonts w:hint="eastAsia"/>
          <w:b/>
          <w:bCs/>
          <w:sz w:val="28"/>
          <w:szCs w:val="32"/>
          <w:lang w:val="en-US" w:eastAsia="zh-CN"/>
        </w:rPr>
      </w:pPr>
      <w:r>
        <w:rPr>
          <w:rFonts w:hint="eastAsia" w:ascii="仿宋_GB2312" w:eastAsia="仿宋_GB2312"/>
          <w:b/>
          <w:sz w:val="32"/>
          <w:szCs w:val="32"/>
        </w:rPr>
        <w:t>江西航空2026园区网络设备框架采购</w:t>
      </w:r>
    </w:p>
    <w:p w14:paraId="3FD60E2E">
      <w:pPr>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560" w:lineRule="exact"/>
        <w:textAlignment w:val="auto"/>
        <w:rPr>
          <w:rFonts w:hint="eastAsia"/>
          <w:b/>
          <w:bCs/>
          <w:sz w:val="28"/>
          <w:szCs w:val="32"/>
          <w:lang w:val="en-US" w:eastAsia="zh-CN"/>
        </w:rPr>
      </w:pPr>
      <w:r>
        <w:rPr>
          <w:rFonts w:hint="eastAsia"/>
          <w:b/>
          <w:bCs/>
          <w:sz w:val="28"/>
          <w:szCs w:val="32"/>
          <w:lang w:val="en-US" w:eastAsia="zh-CN"/>
        </w:rPr>
        <w:t>附件4：具体需求</w:t>
      </w:r>
    </w:p>
    <w:p w14:paraId="5BA389C9">
      <w:pPr>
        <w:tabs>
          <w:tab w:val="left" w:pos="0"/>
        </w:tabs>
        <w:adjustRightInd w:val="0"/>
        <w:spacing w:line="560" w:lineRule="exact"/>
        <w:ind w:firstLine="562" w:firstLineChars="200"/>
        <w:rPr>
          <w:rFonts w:hint="eastAsia" w:ascii="黑体" w:hAnsi="黑体" w:eastAsia="黑体"/>
          <w:b/>
          <w:sz w:val="28"/>
          <w:szCs w:val="28"/>
        </w:rPr>
      </w:pPr>
      <w:r>
        <w:rPr>
          <w:rFonts w:hint="eastAsia" w:ascii="黑体" w:hAnsi="黑体" w:eastAsia="黑体"/>
          <w:b/>
          <w:sz w:val="28"/>
          <w:szCs w:val="28"/>
        </w:rPr>
        <w:t>一、采购需求</w:t>
      </w:r>
    </w:p>
    <w:p w14:paraId="07DBCE88">
      <w:pPr>
        <w:pStyle w:val="5"/>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现计划对江西航园区网络进行改造升级，涉及核心设备与各区域汇聚设备的采购工作，采用VRF技术方案重新规划网络架构，后续将逐步完成接入层交换机的替换工作。具体规划拓扑及采购数量及需求如下：</w:t>
      </w:r>
    </w:p>
    <w:p w14:paraId="44F73130">
      <w:pPr>
        <w:pStyle w:val="5"/>
        <w:jc w:val="left"/>
      </w:pPr>
      <w:r>
        <w:drawing>
          <wp:inline distT="0" distB="0" distL="114300" distR="114300">
            <wp:extent cx="6115685" cy="3449320"/>
            <wp:effectExtent l="0" t="0" r="18415"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6115685" cy="3449320"/>
                    </a:xfrm>
                    <a:prstGeom prst="rect">
                      <a:avLst/>
                    </a:prstGeom>
                    <a:noFill/>
                    <a:ln>
                      <a:noFill/>
                    </a:ln>
                  </pic:spPr>
                </pic:pic>
              </a:graphicData>
            </a:graphic>
          </wp:inline>
        </w:drawing>
      </w:r>
    </w:p>
    <w:p w14:paraId="4902E630">
      <w:pPr>
        <w:pStyle w:val="5"/>
        <w:ind w:firstLine="560" w:firstLineChars="200"/>
        <w:rPr>
          <w:rFonts w:hint="default" w:ascii="仿宋_GB2312" w:eastAsia="仿宋_GB2312" w:cs="Arial"/>
          <w:sz w:val="28"/>
          <w:szCs w:val="28"/>
          <w:lang w:val="en-US" w:eastAsia="zh-CN"/>
        </w:rPr>
      </w:pPr>
      <w:r>
        <w:rPr>
          <w:rFonts w:hint="eastAsia" w:ascii="仿宋_GB2312" w:eastAsia="仿宋_GB2312" w:cs="Arial"/>
          <w:sz w:val="28"/>
          <w:szCs w:val="28"/>
          <w:lang w:val="en-US" w:eastAsia="zh-CN"/>
        </w:rPr>
        <w:t>1.采购需求：</w:t>
      </w:r>
    </w:p>
    <w:tbl>
      <w:tblPr>
        <w:tblStyle w:val="3"/>
        <w:tblW w:w="7925" w:type="dxa"/>
        <w:jc w:val="center"/>
        <w:tblLayout w:type="fixed"/>
        <w:tblCellMar>
          <w:top w:w="0" w:type="dxa"/>
          <w:left w:w="108" w:type="dxa"/>
          <w:bottom w:w="0" w:type="dxa"/>
          <w:right w:w="108" w:type="dxa"/>
        </w:tblCellMar>
      </w:tblPr>
      <w:tblGrid>
        <w:gridCol w:w="767"/>
        <w:gridCol w:w="2363"/>
        <w:gridCol w:w="2829"/>
        <w:gridCol w:w="767"/>
        <w:gridCol w:w="1199"/>
      </w:tblGrid>
      <w:tr w14:paraId="571B4E78">
        <w:tblPrEx>
          <w:tblCellMar>
            <w:top w:w="0" w:type="dxa"/>
            <w:left w:w="108" w:type="dxa"/>
            <w:bottom w:w="0" w:type="dxa"/>
            <w:right w:w="108" w:type="dxa"/>
          </w:tblCellMar>
        </w:tblPrEx>
        <w:trPr>
          <w:tblHeader/>
          <w:jc w:val="center"/>
        </w:trPr>
        <w:tc>
          <w:tcPr>
            <w:tcW w:w="767" w:type="dxa"/>
            <w:tcBorders>
              <w:top w:val="single" w:color="4874CB" w:themeColor="accent1" w:sz="6" w:space="0"/>
              <w:left w:val="single" w:color="4874CB" w:themeColor="accent1" w:sz="6" w:space="0"/>
              <w:bottom w:val="single" w:color="4874CB" w:themeColor="accent1" w:sz="6" w:space="0"/>
              <w:right w:val="single" w:color="B5C7EA" w:themeColor="accent1" w:themeTint="66" w:sz="6" w:space="0"/>
            </w:tcBorders>
            <w:shd w:val="clear" w:color="auto" w:fill="4874CB" w:themeFill="accent1"/>
            <w:noWrap/>
            <w:tcMar>
              <w:left w:w="108" w:type="dxa"/>
              <w:right w:w="108" w:type="dxa"/>
            </w:tcMar>
            <w:vAlign w:val="center"/>
          </w:tcPr>
          <w:p w14:paraId="6D85ECF4">
            <w:pPr>
              <w:widowControl/>
              <w:snapToGrid w:val="0"/>
              <w:jc w:val="center"/>
              <w:textAlignment w:val="bottom"/>
              <w:rPr>
                <w:rFonts w:hint="eastAsia" w:ascii="微软雅黑" w:hAnsi="微软雅黑" w:eastAsia="微软雅黑" w:cs="微软雅黑"/>
                <w:b/>
                <w:color w:val="FFFFFF"/>
                <w:sz w:val="22"/>
                <w:szCs w:val="22"/>
              </w:rPr>
            </w:pPr>
            <w:r>
              <w:rPr>
                <w:rFonts w:hint="eastAsia" w:ascii="微软雅黑" w:hAnsi="微软雅黑" w:eastAsia="微软雅黑" w:cs="微软雅黑"/>
                <w:b/>
                <w:color w:val="FFFFFF"/>
                <w:kern w:val="0"/>
                <w:sz w:val="22"/>
                <w:szCs w:val="22"/>
                <w:lang w:bidi="ar"/>
              </w:rPr>
              <w:t>序号</w:t>
            </w:r>
          </w:p>
        </w:tc>
        <w:tc>
          <w:tcPr>
            <w:tcW w:w="2363" w:type="dxa"/>
            <w:tcBorders>
              <w:top w:val="single" w:color="4874CB" w:themeColor="accent1" w:sz="6" w:space="0"/>
              <w:left w:val="single" w:color="B5C7EA" w:themeColor="accent1" w:themeTint="66" w:sz="6" w:space="0"/>
              <w:bottom w:val="single" w:color="4874CB" w:themeColor="accent1" w:sz="6" w:space="0"/>
              <w:right w:val="single" w:color="B5C7EA" w:themeColor="accent1" w:themeTint="66" w:sz="6" w:space="0"/>
            </w:tcBorders>
            <w:shd w:val="clear" w:color="auto" w:fill="4874CB" w:themeFill="accent1"/>
            <w:noWrap/>
            <w:tcMar>
              <w:left w:w="108" w:type="dxa"/>
              <w:right w:w="108" w:type="dxa"/>
            </w:tcMar>
            <w:vAlign w:val="center"/>
          </w:tcPr>
          <w:p w14:paraId="45E03A69">
            <w:pPr>
              <w:widowControl/>
              <w:snapToGrid w:val="0"/>
              <w:jc w:val="center"/>
              <w:textAlignment w:val="bottom"/>
              <w:rPr>
                <w:rFonts w:hint="eastAsia" w:ascii="微软雅黑" w:hAnsi="微软雅黑" w:eastAsia="微软雅黑" w:cs="微软雅黑"/>
                <w:b/>
                <w:color w:val="FFFFFF"/>
                <w:sz w:val="22"/>
                <w:szCs w:val="22"/>
              </w:rPr>
            </w:pPr>
            <w:r>
              <w:rPr>
                <w:rFonts w:hint="eastAsia" w:ascii="微软雅黑" w:hAnsi="微软雅黑" w:eastAsia="微软雅黑" w:cs="微软雅黑"/>
                <w:b/>
                <w:color w:val="FFFFFF"/>
                <w:kern w:val="0"/>
                <w:sz w:val="22"/>
                <w:szCs w:val="22"/>
                <w:lang w:bidi="ar"/>
              </w:rPr>
              <w:t>产品名称</w:t>
            </w:r>
          </w:p>
        </w:tc>
        <w:tc>
          <w:tcPr>
            <w:tcW w:w="2829" w:type="dxa"/>
            <w:tcBorders>
              <w:top w:val="single" w:color="4874CB" w:themeColor="accent1" w:sz="6" w:space="0"/>
              <w:left w:val="single" w:color="B5C7EA" w:themeColor="accent1" w:themeTint="66" w:sz="6" w:space="0"/>
              <w:bottom w:val="single" w:color="4874CB" w:themeColor="accent1" w:sz="6" w:space="0"/>
              <w:right w:val="single" w:color="B5C7EA" w:themeColor="accent1" w:themeTint="66" w:sz="6" w:space="0"/>
            </w:tcBorders>
            <w:shd w:val="clear" w:color="auto" w:fill="4874CB" w:themeFill="accent1"/>
            <w:noWrap/>
            <w:tcMar>
              <w:left w:w="108" w:type="dxa"/>
              <w:right w:w="108" w:type="dxa"/>
            </w:tcMar>
            <w:vAlign w:val="center"/>
          </w:tcPr>
          <w:p w14:paraId="462DAC08">
            <w:pPr>
              <w:widowControl/>
              <w:snapToGrid w:val="0"/>
              <w:jc w:val="center"/>
              <w:textAlignment w:val="bottom"/>
              <w:rPr>
                <w:rFonts w:hint="eastAsia" w:ascii="微软雅黑" w:hAnsi="微软雅黑" w:eastAsia="微软雅黑" w:cs="微软雅黑"/>
                <w:b/>
                <w:color w:val="FFFFFF"/>
                <w:sz w:val="22"/>
                <w:szCs w:val="22"/>
              </w:rPr>
            </w:pPr>
            <w:r>
              <w:rPr>
                <w:rFonts w:hint="eastAsia" w:ascii="微软雅黑" w:hAnsi="微软雅黑" w:eastAsia="微软雅黑" w:cs="微软雅黑"/>
                <w:b/>
                <w:color w:val="FFFFFF"/>
                <w:sz w:val="22"/>
                <w:szCs w:val="22"/>
              </w:rPr>
              <w:t>区域</w:t>
            </w:r>
          </w:p>
        </w:tc>
        <w:tc>
          <w:tcPr>
            <w:tcW w:w="767" w:type="dxa"/>
            <w:tcBorders>
              <w:top w:val="single" w:color="4874CB" w:themeColor="accent1" w:sz="6" w:space="0"/>
              <w:left w:val="single" w:color="B5C7EA" w:themeColor="accent1" w:themeTint="66" w:sz="6" w:space="0"/>
              <w:bottom w:val="single" w:color="4874CB" w:themeColor="accent1" w:sz="6" w:space="0"/>
              <w:right w:val="single" w:color="B5C7EA" w:themeColor="accent1" w:themeTint="66" w:sz="6" w:space="0"/>
            </w:tcBorders>
            <w:shd w:val="clear" w:color="auto" w:fill="4874CB" w:themeFill="accent1"/>
            <w:noWrap/>
            <w:tcMar>
              <w:left w:w="108" w:type="dxa"/>
              <w:right w:w="108" w:type="dxa"/>
            </w:tcMar>
            <w:vAlign w:val="center"/>
          </w:tcPr>
          <w:p w14:paraId="612D793C">
            <w:pPr>
              <w:widowControl/>
              <w:snapToGrid w:val="0"/>
              <w:jc w:val="center"/>
              <w:textAlignment w:val="bottom"/>
              <w:rPr>
                <w:rFonts w:hint="eastAsia" w:ascii="微软雅黑" w:hAnsi="微软雅黑" w:eastAsia="微软雅黑" w:cs="微软雅黑"/>
                <w:b/>
                <w:color w:val="FFFFFF"/>
                <w:sz w:val="22"/>
                <w:szCs w:val="22"/>
              </w:rPr>
            </w:pPr>
            <w:r>
              <w:rPr>
                <w:rFonts w:hint="eastAsia" w:ascii="微软雅黑" w:hAnsi="微软雅黑" w:eastAsia="微软雅黑" w:cs="微软雅黑"/>
                <w:b/>
                <w:color w:val="FFFFFF"/>
                <w:kern w:val="0"/>
                <w:sz w:val="22"/>
                <w:szCs w:val="22"/>
                <w:lang w:bidi="ar"/>
              </w:rPr>
              <w:t>单位</w:t>
            </w:r>
          </w:p>
        </w:tc>
        <w:tc>
          <w:tcPr>
            <w:tcW w:w="1199" w:type="dxa"/>
            <w:tcBorders>
              <w:top w:val="single" w:color="4874CB" w:themeColor="accent1" w:sz="6" w:space="0"/>
              <w:left w:val="single" w:color="B5C7EA" w:themeColor="accent1" w:themeTint="66" w:sz="6" w:space="0"/>
              <w:bottom w:val="single" w:color="4874CB" w:themeColor="accent1" w:sz="6" w:space="0"/>
              <w:right w:val="single" w:color="4874CB" w:themeColor="accent1" w:sz="6" w:space="0"/>
            </w:tcBorders>
            <w:shd w:val="clear" w:color="auto" w:fill="4874CB" w:themeFill="accent1"/>
            <w:noWrap/>
            <w:tcMar>
              <w:left w:w="108" w:type="dxa"/>
              <w:right w:w="108" w:type="dxa"/>
            </w:tcMar>
            <w:vAlign w:val="center"/>
          </w:tcPr>
          <w:p w14:paraId="2890D3D5">
            <w:pPr>
              <w:widowControl/>
              <w:snapToGrid w:val="0"/>
              <w:jc w:val="center"/>
              <w:textAlignment w:val="bottom"/>
              <w:rPr>
                <w:rFonts w:hint="eastAsia" w:ascii="微软雅黑" w:hAnsi="微软雅黑" w:eastAsia="微软雅黑" w:cs="微软雅黑"/>
                <w:b/>
                <w:color w:val="FFFFFF"/>
                <w:sz w:val="22"/>
                <w:szCs w:val="22"/>
              </w:rPr>
            </w:pPr>
            <w:r>
              <w:rPr>
                <w:rFonts w:hint="eastAsia" w:ascii="微软雅黑" w:hAnsi="微软雅黑" w:eastAsia="微软雅黑" w:cs="微软雅黑"/>
                <w:b/>
                <w:color w:val="FFFFFF"/>
                <w:kern w:val="0"/>
                <w:sz w:val="22"/>
                <w:szCs w:val="22"/>
                <w:lang w:bidi="ar"/>
              </w:rPr>
              <w:t>预估数量</w:t>
            </w:r>
          </w:p>
        </w:tc>
      </w:tr>
      <w:tr w14:paraId="6F581C64">
        <w:tblPrEx>
          <w:tblCellMar>
            <w:top w:w="0" w:type="dxa"/>
            <w:left w:w="108" w:type="dxa"/>
            <w:bottom w:w="0" w:type="dxa"/>
            <w:right w:w="108" w:type="dxa"/>
          </w:tblCellMar>
        </w:tblPrEx>
        <w:trPr>
          <w:jc w:val="center"/>
        </w:trPr>
        <w:tc>
          <w:tcPr>
            <w:tcW w:w="767" w:type="dxa"/>
            <w:tcBorders>
              <w:top w:val="single" w:color="4874CB" w:themeColor="accent1" w:sz="6" w:space="0"/>
              <w:left w:val="single" w:color="4874CB" w:themeColor="accent1"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4D9E455C">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w:t>
            </w:r>
          </w:p>
        </w:tc>
        <w:tc>
          <w:tcPr>
            <w:tcW w:w="2363" w:type="dxa"/>
            <w:tcBorders>
              <w:top w:val="single" w:color="4874CB" w:themeColor="accent1"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4BD7A640">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核心交换机(Spine)</w:t>
            </w:r>
          </w:p>
        </w:tc>
        <w:tc>
          <w:tcPr>
            <w:tcW w:w="2829" w:type="dxa"/>
            <w:tcBorders>
              <w:top w:val="single" w:color="4874CB" w:themeColor="accent1"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2B11B832">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网络核心</w:t>
            </w:r>
          </w:p>
        </w:tc>
        <w:tc>
          <w:tcPr>
            <w:tcW w:w="767" w:type="dxa"/>
            <w:tcBorders>
              <w:top w:val="single" w:color="4874CB" w:themeColor="accent1"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61D432EC">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台</w:t>
            </w:r>
          </w:p>
        </w:tc>
        <w:tc>
          <w:tcPr>
            <w:tcW w:w="1199" w:type="dxa"/>
            <w:tcBorders>
              <w:top w:val="single" w:color="4874CB" w:themeColor="accent1" w:sz="6" w:space="0"/>
              <w:left w:val="single" w:color="B5C7EA" w:themeColor="accent1" w:themeTint="66" w:sz="6" w:space="0"/>
              <w:bottom w:val="single" w:color="B5C7EA" w:themeColor="accent1" w:themeTint="66" w:sz="6" w:space="0"/>
              <w:right w:val="single" w:color="4874CB" w:themeColor="accent1" w:sz="6" w:space="0"/>
            </w:tcBorders>
            <w:shd w:val="clear" w:color="auto" w:fill="FFFFFF"/>
            <w:noWrap/>
            <w:tcMar>
              <w:left w:w="108" w:type="dxa"/>
              <w:right w:w="108" w:type="dxa"/>
            </w:tcMar>
            <w:vAlign w:val="center"/>
          </w:tcPr>
          <w:p w14:paraId="24B282FE">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r>
      <w:tr w14:paraId="65AB7A51">
        <w:tblPrEx>
          <w:tblCellMar>
            <w:top w:w="0" w:type="dxa"/>
            <w:left w:w="108" w:type="dxa"/>
            <w:bottom w:w="0" w:type="dxa"/>
            <w:right w:w="108" w:type="dxa"/>
          </w:tblCellMar>
        </w:tblPrEx>
        <w:trPr>
          <w:jc w:val="center"/>
        </w:trPr>
        <w:tc>
          <w:tcPr>
            <w:tcW w:w="767" w:type="dxa"/>
            <w:tcBorders>
              <w:top w:val="single" w:color="B5C7EA" w:themeColor="accent1" w:themeTint="66" w:sz="6" w:space="0"/>
              <w:left w:val="single" w:color="4874CB" w:themeColor="accent1"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22462B88">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c>
          <w:tcPr>
            <w:tcW w:w="2363"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7900B5FA">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一类24口Leaf交换机</w:t>
            </w:r>
          </w:p>
        </w:tc>
        <w:tc>
          <w:tcPr>
            <w:tcW w:w="2829"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2B523327">
            <w:pPr>
              <w:widowControl/>
              <w:snapToGrid w:val="0"/>
              <w:jc w:val="center"/>
              <w:textAlignment w:val="bottom"/>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kern w:val="0"/>
                <w:sz w:val="22"/>
                <w:szCs w:val="22"/>
                <w:lang w:bidi="ar"/>
              </w:rPr>
              <w:t>DMZ</w:t>
            </w:r>
            <w:r>
              <w:rPr>
                <w:rFonts w:hint="eastAsia" w:ascii="微软雅黑" w:hAnsi="微软雅黑" w:eastAsia="微软雅黑" w:cs="微软雅黑"/>
                <w:color w:val="000000"/>
                <w:kern w:val="0"/>
                <w:sz w:val="22"/>
                <w:szCs w:val="22"/>
                <w:lang w:val="en-US" w:eastAsia="zh-CN" w:bidi="ar"/>
              </w:rPr>
              <w:t>及数据中心</w:t>
            </w:r>
            <w:r>
              <w:rPr>
                <w:rFonts w:hint="eastAsia" w:ascii="微软雅黑" w:hAnsi="微软雅黑" w:eastAsia="微软雅黑" w:cs="微软雅黑"/>
                <w:color w:val="000000"/>
                <w:kern w:val="0"/>
                <w:sz w:val="22"/>
                <w:szCs w:val="22"/>
                <w:lang w:bidi="ar"/>
              </w:rPr>
              <w:t>区</w:t>
            </w:r>
            <w:r>
              <w:rPr>
                <w:rFonts w:hint="eastAsia" w:ascii="微软雅黑" w:hAnsi="微软雅黑" w:eastAsia="微软雅黑" w:cs="微软雅黑"/>
                <w:color w:val="000000"/>
                <w:kern w:val="0"/>
                <w:sz w:val="22"/>
                <w:szCs w:val="22"/>
                <w:lang w:val="en-US" w:eastAsia="zh-CN" w:bidi="ar"/>
              </w:rPr>
              <w:t>网关</w:t>
            </w:r>
          </w:p>
        </w:tc>
        <w:tc>
          <w:tcPr>
            <w:tcW w:w="767"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0B813869">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台</w:t>
            </w:r>
          </w:p>
        </w:tc>
        <w:tc>
          <w:tcPr>
            <w:tcW w:w="1199" w:type="dxa"/>
            <w:tcBorders>
              <w:top w:val="single" w:color="B5C7EA" w:themeColor="accent1" w:themeTint="66" w:sz="6" w:space="0"/>
              <w:left w:val="single" w:color="B5C7EA" w:themeColor="accent1" w:themeTint="66" w:sz="6" w:space="0"/>
              <w:bottom w:val="single" w:color="B5C7EA" w:themeColor="accent1" w:themeTint="66" w:sz="6" w:space="0"/>
              <w:right w:val="single" w:color="4874CB" w:themeColor="accent1" w:sz="6" w:space="0"/>
            </w:tcBorders>
            <w:shd w:val="clear" w:color="auto" w:fill="FFFFFF"/>
            <w:noWrap/>
            <w:tcMar>
              <w:left w:w="108" w:type="dxa"/>
              <w:right w:w="108" w:type="dxa"/>
            </w:tcMar>
            <w:vAlign w:val="center"/>
          </w:tcPr>
          <w:p w14:paraId="775DD46E">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w:t>
            </w:r>
          </w:p>
        </w:tc>
      </w:tr>
      <w:tr w14:paraId="479A6335">
        <w:tblPrEx>
          <w:tblCellMar>
            <w:top w:w="0" w:type="dxa"/>
            <w:left w:w="108" w:type="dxa"/>
            <w:bottom w:w="0" w:type="dxa"/>
            <w:right w:w="108" w:type="dxa"/>
          </w:tblCellMar>
        </w:tblPrEx>
        <w:trPr>
          <w:jc w:val="center"/>
        </w:trPr>
        <w:tc>
          <w:tcPr>
            <w:tcW w:w="767" w:type="dxa"/>
            <w:tcBorders>
              <w:top w:val="single" w:color="B5C7EA" w:themeColor="accent1" w:themeTint="66" w:sz="6" w:space="0"/>
              <w:left w:val="single" w:color="4874CB" w:themeColor="accent1"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7E806717">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w:t>
            </w:r>
          </w:p>
        </w:tc>
        <w:tc>
          <w:tcPr>
            <w:tcW w:w="2363"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1EFFCC40">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一类48口Leaf交换机</w:t>
            </w:r>
          </w:p>
        </w:tc>
        <w:tc>
          <w:tcPr>
            <w:tcW w:w="2829"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564B867F">
            <w:pPr>
              <w:widowControl/>
              <w:snapToGrid w:val="0"/>
              <w:jc w:val="center"/>
              <w:textAlignment w:val="bottom"/>
              <w:rPr>
                <w:rFonts w:hint="eastAsia"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kern w:val="0"/>
                <w:sz w:val="22"/>
                <w:szCs w:val="22"/>
                <w:lang w:bidi="ar"/>
              </w:rPr>
              <w:t>办公区</w:t>
            </w:r>
            <w:r>
              <w:rPr>
                <w:rFonts w:hint="eastAsia" w:ascii="微软雅黑" w:hAnsi="微软雅黑" w:eastAsia="微软雅黑" w:cs="微软雅黑"/>
                <w:color w:val="000000"/>
                <w:kern w:val="0"/>
                <w:sz w:val="22"/>
                <w:szCs w:val="22"/>
                <w:lang w:val="en-US" w:eastAsia="zh-CN" w:bidi="ar"/>
              </w:rPr>
              <w:t>网关</w:t>
            </w:r>
          </w:p>
        </w:tc>
        <w:tc>
          <w:tcPr>
            <w:tcW w:w="767"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2A738869">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台</w:t>
            </w:r>
          </w:p>
        </w:tc>
        <w:tc>
          <w:tcPr>
            <w:tcW w:w="1199" w:type="dxa"/>
            <w:tcBorders>
              <w:top w:val="single" w:color="B5C7EA" w:themeColor="accent1" w:themeTint="66" w:sz="6" w:space="0"/>
              <w:left w:val="single" w:color="B5C7EA" w:themeColor="accent1" w:themeTint="66" w:sz="6" w:space="0"/>
              <w:bottom w:val="single" w:color="B5C7EA" w:themeColor="accent1" w:themeTint="66" w:sz="6" w:space="0"/>
              <w:right w:val="single" w:color="4874CB" w:themeColor="accent1" w:sz="6" w:space="0"/>
            </w:tcBorders>
            <w:shd w:val="clear" w:color="auto" w:fill="FFFFFF"/>
            <w:noWrap/>
            <w:tcMar>
              <w:left w:w="108" w:type="dxa"/>
              <w:right w:w="108" w:type="dxa"/>
            </w:tcMar>
            <w:vAlign w:val="center"/>
          </w:tcPr>
          <w:p w14:paraId="2D44E88E">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r>
      <w:tr w14:paraId="59769712">
        <w:tblPrEx>
          <w:tblCellMar>
            <w:top w:w="0" w:type="dxa"/>
            <w:left w:w="108" w:type="dxa"/>
            <w:bottom w:w="0" w:type="dxa"/>
            <w:right w:w="108" w:type="dxa"/>
          </w:tblCellMar>
        </w:tblPrEx>
        <w:trPr>
          <w:jc w:val="center"/>
        </w:trPr>
        <w:tc>
          <w:tcPr>
            <w:tcW w:w="767" w:type="dxa"/>
            <w:tcBorders>
              <w:top w:val="single" w:color="B5C7EA" w:themeColor="accent1" w:themeTint="66" w:sz="6" w:space="0"/>
              <w:left w:val="single" w:color="4874CB" w:themeColor="accent1"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08DCB702">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w:t>
            </w:r>
          </w:p>
        </w:tc>
        <w:tc>
          <w:tcPr>
            <w:tcW w:w="2363"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16657789">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二类24口Leaf交换机</w:t>
            </w:r>
          </w:p>
        </w:tc>
        <w:tc>
          <w:tcPr>
            <w:tcW w:w="2829"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4DA771E6">
            <w:pPr>
              <w:widowControl/>
              <w:snapToGrid w:val="0"/>
              <w:jc w:val="center"/>
              <w:textAlignment w:val="bottom"/>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kern w:val="0"/>
                <w:sz w:val="22"/>
                <w:szCs w:val="22"/>
                <w:lang w:val="en-US" w:eastAsia="zh-CN" w:bidi="ar"/>
              </w:rPr>
              <w:t>DMZ及</w:t>
            </w:r>
            <w:r>
              <w:rPr>
                <w:rFonts w:hint="eastAsia" w:ascii="微软雅黑" w:hAnsi="微软雅黑" w:eastAsia="微软雅黑" w:cs="微软雅黑"/>
                <w:color w:val="000000"/>
                <w:kern w:val="0"/>
                <w:sz w:val="22"/>
                <w:szCs w:val="22"/>
                <w:lang w:bidi="ar"/>
              </w:rPr>
              <w:t>数据中心</w:t>
            </w:r>
            <w:r>
              <w:rPr>
                <w:rFonts w:hint="eastAsia" w:ascii="微软雅黑" w:hAnsi="微软雅黑" w:eastAsia="微软雅黑" w:cs="微软雅黑"/>
                <w:color w:val="000000"/>
                <w:kern w:val="0"/>
                <w:sz w:val="22"/>
                <w:szCs w:val="22"/>
                <w:lang w:val="en-US" w:eastAsia="zh-CN" w:bidi="ar"/>
              </w:rPr>
              <w:t>区接入</w:t>
            </w:r>
          </w:p>
        </w:tc>
        <w:tc>
          <w:tcPr>
            <w:tcW w:w="767"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2BC96810">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台</w:t>
            </w:r>
          </w:p>
        </w:tc>
        <w:tc>
          <w:tcPr>
            <w:tcW w:w="1199" w:type="dxa"/>
            <w:tcBorders>
              <w:top w:val="single" w:color="B5C7EA" w:themeColor="accent1" w:themeTint="66" w:sz="6" w:space="0"/>
              <w:left w:val="single" w:color="B5C7EA" w:themeColor="accent1" w:themeTint="66" w:sz="6" w:space="0"/>
              <w:bottom w:val="single" w:color="B5C7EA" w:themeColor="accent1" w:themeTint="66" w:sz="6" w:space="0"/>
              <w:right w:val="single" w:color="4874CB" w:themeColor="accent1" w:sz="6" w:space="0"/>
            </w:tcBorders>
            <w:shd w:val="clear" w:color="auto" w:fill="FFFFFF"/>
            <w:noWrap/>
            <w:tcMar>
              <w:left w:w="108" w:type="dxa"/>
              <w:right w:w="108" w:type="dxa"/>
            </w:tcMar>
            <w:vAlign w:val="center"/>
          </w:tcPr>
          <w:p w14:paraId="68A9E9AE">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w:t>
            </w:r>
          </w:p>
        </w:tc>
      </w:tr>
      <w:tr w14:paraId="324125DD">
        <w:tblPrEx>
          <w:tblCellMar>
            <w:top w:w="0" w:type="dxa"/>
            <w:left w:w="108" w:type="dxa"/>
            <w:bottom w:w="0" w:type="dxa"/>
            <w:right w:w="108" w:type="dxa"/>
          </w:tblCellMar>
        </w:tblPrEx>
        <w:trPr>
          <w:jc w:val="center"/>
        </w:trPr>
        <w:tc>
          <w:tcPr>
            <w:tcW w:w="767" w:type="dxa"/>
            <w:tcBorders>
              <w:top w:val="single" w:color="B5C7EA" w:themeColor="accent1" w:themeTint="66" w:sz="6" w:space="0"/>
              <w:left w:val="single" w:color="4874CB" w:themeColor="accent1"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358E65BB">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5</w:t>
            </w:r>
          </w:p>
        </w:tc>
        <w:tc>
          <w:tcPr>
            <w:tcW w:w="2363"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32E188C2">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三类24口Leaf交换机</w:t>
            </w:r>
          </w:p>
        </w:tc>
        <w:tc>
          <w:tcPr>
            <w:tcW w:w="2829"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11483B71">
            <w:pPr>
              <w:widowControl/>
              <w:snapToGrid w:val="0"/>
              <w:jc w:val="center"/>
              <w:textAlignment w:val="bottom"/>
              <w:rPr>
                <w:rFonts w:hint="eastAsia"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kern w:val="0"/>
                <w:sz w:val="22"/>
                <w:szCs w:val="22"/>
                <w:lang w:bidi="ar"/>
              </w:rPr>
              <w:t>管理控制区</w:t>
            </w:r>
            <w:r>
              <w:rPr>
                <w:rFonts w:hint="eastAsia" w:ascii="微软雅黑" w:hAnsi="微软雅黑" w:eastAsia="微软雅黑" w:cs="微软雅黑"/>
                <w:color w:val="000000"/>
                <w:kern w:val="0"/>
                <w:sz w:val="22"/>
                <w:szCs w:val="22"/>
                <w:lang w:val="en-US" w:eastAsia="zh-CN" w:bidi="ar"/>
              </w:rPr>
              <w:t>网关</w:t>
            </w:r>
          </w:p>
        </w:tc>
        <w:tc>
          <w:tcPr>
            <w:tcW w:w="767"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1B1D2409">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台</w:t>
            </w:r>
          </w:p>
        </w:tc>
        <w:tc>
          <w:tcPr>
            <w:tcW w:w="1199" w:type="dxa"/>
            <w:tcBorders>
              <w:top w:val="single" w:color="B5C7EA" w:themeColor="accent1" w:themeTint="66" w:sz="6" w:space="0"/>
              <w:left w:val="single" w:color="B5C7EA" w:themeColor="accent1" w:themeTint="66" w:sz="6" w:space="0"/>
              <w:bottom w:val="single" w:color="B5C7EA" w:themeColor="accent1" w:themeTint="66" w:sz="6" w:space="0"/>
              <w:right w:val="single" w:color="4874CB" w:themeColor="accent1" w:sz="6" w:space="0"/>
            </w:tcBorders>
            <w:shd w:val="clear" w:color="auto" w:fill="FFFFFF"/>
            <w:noWrap/>
            <w:tcMar>
              <w:left w:w="108" w:type="dxa"/>
              <w:right w:w="108" w:type="dxa"/>
            </w:tcMar>
            <w:vAlign w:val="center"/>
          </w:tcPr>
          <w:p w14:paraId="47FC39C5">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w:t>
            </w:r>
          </w:p>
        </w:tc>
      </w:tr>
      <w:tr w14:paraId="62F3D447">
        <w:tblPrEx>
          <w:tblCellMar>
            <w:top w:w="0" w:type="dxa"/>
            <w:left w:w="108" w:type="dxa"/>
            <w:bottom w:w="0" w:type="dxa"/>
            <w:right w:w="108" w:type="dxa"/>
          </w:tblCellMar>
        </w:tblPrEx>
        <w:trPr>
          <w:jc w:val="center"/>
        </w:trPr>
        <w:tc>
          <w:tcPr>
            <w:tcW w:w="767" w:type="dxa"/>
            <w:tcBorders>
              <w:top w:val="single" w:color="B5C7EA" w:themeColor="accent1" w:themeTint="66" w:sz="6" w:space="0"/>
              <w:left w:val="single" w:color="4874CB" w:themeColor="accent1"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08566D53">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6</w:t>
            </w:r>
          </w:p>
        </w:tc>
        <w:tc>
          <w:tcPr>
            <w:tcW w:w="2363"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76ACBB0D">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24口接入交换机</w:t>
            </w:r>
          </w:p>
        </w:tc>
        <w:tc>
          <w:tcPr>
            <w:tcW w:w="2829"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5B90E0E0">
            <w:pPr>
              <w:widowControl/>
              <w:snapToGrid w:val="0"/>
              <w:jc w:val="center"/>
              <w:textAlignment w:val="bottom"/>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互联网出口</w:t>
            </w:r>
          </w:p>
        </w:tc>
        <w:tc>
          <w:tcPr>
            <w:tcW w:w="767"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600FD4A7">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台</w:t>
            </w:r>
          </w:p>
        </w:tc>
        <w:tc>
          <w:tcPr>
            <w:tcW w:w="1199" w:type="dxa"/>
            <w:tcBorders>
              <w:top w:val="single" w:color="B5C7EA" w:themeColor="accent1" w:themeTint="66" w:sz="6" w:space="0"/>
              <w:left w:val="single" w:color="B5C7EA" w:themeColor="accent1" w:themeTint="66" w:sz="6" w:space="0"/>
              <w:bottom w:val="single" w:color="B5C7EA" w:themeColor="accent1" w:themeTint="66" w:sz="6" w:space="0"/>
              <w:right w:val="single" w:color="4874CB" w:themeColor="accent1" w:sz="6" w:space="0"/>
            </w:tcBorders>
            <w:shd w:val="clear" w:color="auto" w:fill="FFFFFF"/>
            <w:noWrap/>
            <w:tcMar>
              <w:left w:w="108" w:type="dxa"/>
              <w:right w:w="108" w:type="dxa"/>
            </w:tcMar>
            <w:vAlign w:val="center"/>
          </w:tcPr>
          <w:p w14:paraId="5A5DFE5B">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w:t>
            </w:r>
          </w:p>
        </w:tc>
      </w:tr>
      <w:tr w14:paraId="7848148A">
        <w:tblPrEx>
          <w:tblCellMar>
            <w:top w:w="0" w:type="dxa"/>
            <w:left w:w="108" w:type="dxa"/>
            <w:bottom w:w="0" w:type="dxa"/>
            <w:right w:w="108" w:type="dxa"/>
          </w:tblCellMar>
        </w:tblPrEx>
        <w:trPr>
          <w:jc w:val="center"/>
        </w:trPr>
        <w:tc>
          <w:tcPr>
            <w:tcW w:w="767" w:type="dxa"/>
            <w:tcBorders>
              <w:top w:val="single" w:color="B5C7EA" w:themeColor="accent1" w:themeTint="66" w:sz="6" w:space="0"/>
              <w:left w:val="single" w:color="4874CB" w:themeColor="accent1"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3F23A539">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7</w:t>
            </w:r>
          </w:p>
        </w:tc>
        <w:tc>
          <w:tcPr>
            <w:tcW w:w="2363"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55865818">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48口接入交换机</w:t>
            </w:r>
          </w:p>
        </w:tc>
        <w:tc>
          <w:tcPr>
            <w:tcW w:w="2829"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1DEE6923">
            <w:pPr>
              <w:widowControl/>
              <w:snapToGrid w:val="0"/>
              <w:jc w:val="center"/>
              <w:textAlignment w:val="bottom"/>
              <w:rPr>
                <w:rFonts w:hint="eastAsia"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办公</w:t>
            </w:r>
            <w:r>
              <w:rPr>
                <w:rFonts w:hint="eastAsia" w:ascii="微软雅黑" w:hAnsi="微软雅黑" w:eastAsia="微软雅黑" w:cs="微软雅黑"/>
                <w:color w:val="000000"/>
                <w:sz w:val="22"/>
                <w:szCs w:val="22"/>
              </w:rPr>
              <w:t>接入层</w:t>
            </w:r>
          </w:p>
        </w:tc>
        <w:tc>
          <w:tcPr>
            <w:tcW w:w="767"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5E442414">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台</w:t>
            </w:r>
          </w:p>
        </w:tc>
        <w:tc>
          <w:tcPr>
            <w:tcW w:w="1199" w:type="dxa"/>
            <w:tcBorders>
              <w:top w:val="single" w:color="B5C7EA" w:themeColor="accent1" w:themeTint="66" w:sz="6" w:space="0"/>
              <w:left w:val="single" w:color="B5C7EA" w:themeColor="accent1" w:themeTint="66" w:sz="6" w:space="0"/>
              <w:bottom w:val="single" w:color="B5C7EA" w:themeColor="accent1" w:themeTint="66" w:sz="6" w:space="0"/>
              <w:right w:val="single" w:color="4874CB" w:themeColor="accent1" w:sz="6" w:space="0"/>
            </w:tcBorders>
            <w:shd w:val="clear" w:color="auto" w:fill="FFFFFF"/>
            <w:noWrap/>
            <w:tcMar>
              <w:left w:w="108" w:type="dxa"/>
              <w:right w:w="108" w:type="dxa"/>
            </w:tcMar>
            <w:vAlign w:val="center"/>
          </w:tcPr>
          <w:p w14:paraId="7728EE3A">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20</w:t>
            </w:r>
          </w:p>
        </w:tc>
      </w:tr>
      <w:tr w14:paraId="770CAAE9">
        <w:tblPrEx>
          <w:tblCellMar>
            <w:top w:w="0" w:type="dxa"/>
            <w:left w:w="108" w:type="dxa"/>
            <w:bottom w:w="0" w:type="dxa"/>
            <w:right w:w="108" w:type="dxa"/>
          </w:tblCellMar>
        </w:tblPrEx>
        <w:trPr>
          <w:jc w:val="center"/>
        </w:trPr>
        <w:tc>
          <w:tcPr>
            <w:tcW w:w="767" w:type="dxa"/>
            <w:tcBorders>
              <w:top w:val="single" w:color="B5C7EA" w:themeColor="accent1" w:themeTint="66" w:sz="6" w:space="0"/>
              <w:left w:val="single" w:color="4874CB" w:themeColor="accent1"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0048DA83">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8</w:t>
            </w:r>
          </w:p>
        </w:tc>
        <w:tc>
          <w:tcPr>
            <w:tcW w:w="2363"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05F3881E">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配件1</w:t>
            </w:r>
          </w:p>
        </w:tc>
        <w:tc>
          <w:tcPr>
            <w:tcW w:w="2829"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6AB9A709">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万兆多模模块</w:t>
            </w:r>
          </w:p>
        </w:tc>
        <w:tc>
          <w:tcPr>
            <w:tcW w:w="767"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6F49FF0F">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1199" w:type="dxa"/>
            <w:tcBorders>
              <w:top w:val="single" w:color="B5C7EA" w:themeColor="accent1" w:themeTint="66" w:sz="6" w:space="0"/>
              <w:left w:val="single" w:color="B5C7EA" w:themeColor="accent1" w:themeTint="66" w:sz="6" w:space="0"/>
              <w:bottom w:val="single" w:color="B5C7EA" w:themeColor="accent1" w:themeTint="66" w:sz="6" w:space="0"/>
              <w:right w:val="single" w:color="4874CB" w:themeColor="accent1" w:sz="6" w:space="0"/>
            </w:tcBorders>
            <w:shd w:val="clear" w:color="auto" w:fill="FFFFFF"/>
            <w:noWrap/>
            <w:tcMar>
              <w:left w:w="108" w:type="dxa"/>
              <w:right w:w="108" w:type="dxa"/>
            </w:tcMar>
            <w:vAlign w:val="center"/>
          </w:tcPr>
          <w:p w14:paraId="04CAE700">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200</w:t>
            </w:r>
          </w:p>
        </w:tc>
      </w:tr>
      <w:tr w14:paraId="69AB1BAB">
        <w:tblPrEx>
          <w:tblCellMar>
            <w:top w:w="0" w:type="dxa"/>
            <w:left w:w="108" w:type="dxa"/>
            <w:bottom w:w="0" w:type="dxa"/>
            <w:right w:w="108" w:type="dxa"/>
          </w:tblCellMar>
        </w:tblPrEx>
        <w:trPr>
          <w:jc w:val="center"/>
        </w:trPr>
        <w:tc>
          <w:tcPr>
            <w:tcW w:w="767" w:type="dxa"/>
            <w:tcBorders>
              <w:top w:val="single" w:color="B5C7EA" w:themeColor="accent1" w:themeTint="66" w:sz="6" w:space="0"/>
              <w:left w:val="single" w:color="4874CB" w:themeColor="accent1"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3C05AA86">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9</w:t>
            </w:r>
          </w:p>
        </w:tc>
        <w:tc>
          <w:tcPr>
            <w:tcW w:w="2363"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406BB683">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配件2</w:t>
            </w:r>
          </w:p>
        </w:tc>
        <w:tc>
          <w:tcPr>
            <w:tcW w:w="2829"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7F45A5A3">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万兆单模模块</w:t>
            </w:r>
          </w:p>
        </w:tc>
        <w:tc>
          <w:tcPr>
            <w:tcW w:w="767"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2DF06D8E">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1199" w:type="dxa"/>
            <w:tcBorders>
              <w:top w:val="single" w:color="B5C7EA" w:themeColor="accent1" w:themeTint="66" w:sz="6" w:space="0"/>
              <w:left w:val="single" w:color="B5C7EA" w:themeColor="accent1" w:themeTint="66" w:sz="6" w:space="0"/>
              <w:bottom w:val="single" w:color="B5C7EA" w:themeColor="accent1" w:themeTint="66" w:sz="6" w:space="0"/>
              <w:right w:val="single" w:color="4874CB" w:themeColor="accent1" w:sz="6" w:space="0"/>
            </w:tcBorders>
            <w:shd w:val="clear" w:color="auto" w:fill="FFFFFF"/>
            <w:noWrap/>
            <w:tcMar>
              <w:left w:w="108" w:type="dxa"/>
              <w:right w:w="108" w:type="dxa"/>
            </w:tcMar>
            <w:vAlign w:val="center"/>
          </w:tcPr>
          <w:p w14:paraId="7BA7A67E">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100</w:t>
            </w:r>
          </w:p>
        </w:tc>
      </w:tr>
      <w:tr w14:paraId="6E706DCD">
        <w:tblPrEx>
          <w:tblCellMar>
            <w:top w:w="0" w:type="dxa"/>
            <w:left w:w="108" w:type="dxa"/>
            <w:bottom w:w="0" w:type="dxa"/>
            <w:right w:w="108" w:type="dxa"/>
          </w:tblCellMar>
        </w:tblPrEx>
        <w:trPr>
          <w:jc w:val="center"/>
        </w:trPr>
        <w:tc>
          <w:tcPr>
            <w:tcW w:w="767" w:type="dxa"/>
            <w:tcBorders>
              <w:top w:val="single" w:color="B5C7EA" w:themeColor="accent1" w:themeTint="66" w:sz="6" w:space="0"/>
              <w:left w:val="single" w:color="4874CB" w:themeColor="accent1"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64515E8A">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10</w:t>
            </w:r>
          </w:p>
        </w:tc>
        <w:tc>
          <w:tcPr>
            <w:tcW w:w="2363"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20A4B1CC">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配件3</w:t>
            </w:r>
          </w:p>
        </w:tc>
        <w:tc>
          <w:tcPr>
            <w:tcW w:w="2829"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69459488">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千兆单模模块</w:t>
            </w:r>
          </w:p>
        </w:tc>
        <w:tc>
          <w:tcPr>
            <w:tcW w:w="767"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2D6012CE">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个</w:t>
            </w:r>
          </w:p>
        </w:tc>
        <w:tc>
          <w:tcPr>
            <w:tcW w:w="1199" w:type="dxa"/>
            <w:tcBorders>
              <w:top w:val="single" w:color="B5C7EA" w:themeColor="accent1" w:themeTint="66" w:sz="6" w:space="0"/>
              <w:left w:val="single" w:color="B5C7EA" w:themeColor="accent1" w:themeTint="66" w:sz="6" w:space="0"/>
              <w:bottom w:val="single" w:color="B5C7EA" w:themeColor="accent1" w:themeTint="66" w:sz="6" w:space="0"/>
              <w:right w:val="single" w:color="4874CB" w:themeColor="accent1" w:sz="6" w:space="0"/>
            </w:tcBorders>
            <w:shd w:val="clear" w:color="auto" w:fill="FFFFFF"/>
            <w:noWrap/>
            <w:tcMar>
              <w:left w:w="108" w:type="dxa"/>
              <w:right w:w="108" w:type="dxa"/>
            </w:tcMar>
            <w:vAlign w:val="center"/>
          </w:tcPr>
          <w:p w14:paraId="59BE23CE">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20</w:t>
            </w:r>
          </w:p>
        </w:tc>
      </w:tr>
      <w:tr w14:paraId="320593A6">
        <w:tblPrEx>
          <w:tblCellMar>
            <w:top w:w="0" w:type="dxa"/>
            <w:left w:w="108" w:type="dxa"/>
            <w:bottom w:w="0" w:type="dxa"/>
            <w:right w:w="108" w:type="dxa"/>
          </w:tblCellMar>
        </w:tblPrEx>
        <w:trPr>
          <w:jc w:val="center"/>
        </w:trPr>
        <w:tc>
          <w:tcPr>
            <w:tcW w:w="767" w:type="dxa"/>
            <w:tcBorders>
              <w:top w:val="single" w:color="B5C7EA" w:themeColor="accent1" w:themeTint="66" w:sz="6" w:space="0"/>
              <w:left w:val="single" w:color="4874CB" w:themeColor="accent1"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6A3134C0">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11</w:t>
            </w:r>
          </w:p>
        </w:tc>
        <w:tc>
          <w:tcPr>
            <w:tcW w:w="2363"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7CC19D83">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配件4</w:t>
            </w:r>
          </w:p>
        </w:tc>
        <w:tc>
          <w:tcPr>
            <w:tcW w:w="2829"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2AC49CC8">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万兆堆叠电缆</w:t>
            </w:r>
          </w:p>
        </w:tc>
        <w:tc>
          <w:tcPr>
            <w:tcW w:w="767"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53BF779A">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根</w:t>
            </w:r>
          </w:p>
        </w:tc>
        <w:tc>
          <w:tcPr>
            <w:tcW w:w="1199" w:type="dxa"/>
            <w:tcBorders>
              <w:top w:val="single" w:color="B5C7EA" w:themeColor="accent1" w:themeTint="66" w:sz="6" w:space="0"/>
              <w:left w:val="single" w:color="B5C7EA" w:themeColor="accent1" w:themeTint="66" w:sz="6" w:space="0"/>
              <w:bottom w:val="single" w:color="B5C7EA" w:themeColor="accent1" w:themeTint="66" w:sz="6" w:space="0"/>
              <w:right w:val="single" w:color="4874CB" w:themeColor="accent1" w:sz="6" w:space="0"/>
            </w:tcBorders>
            <w:shd w:val="clear" w:color="auto" w:fill="FFFFFF"/>
            <w:noWrap/>
            <w:tcMar>
              <w:left w:w="108" w:type="dxa"/>
              <w:right w:w="108" w:type="dxa"/>
            </w:tcMar>
            <w:vAlign w:val="center"/>
          </w:tcPr>
          <w:p w14:paraId="735C2BB4">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14</w:t>
            </w:r>
          </w:p>
        </w:tc>
      </w:tr>
      <w:tr w14:paraId="0E5F27CE">
        <w:tblPrEx>
          <w:tblCellMar>
            <w:top w:w="0" w:type="dxa"/>
            <w:left w:w="108" w:type="dxa"/>
            <w:bottom w:w="0" w:type="dxa"/>
            <w:right w:w="108" w:type="dxa"/>
          </w:tblCellMar>
        </w:tblPrEx>
        <w:trPr>
          <w:jc w:val="center"/>
        </w:trPr>
        <w:tc>
          <w:tcPr>
            <w:tcW w:w="767" w:type="dxa"/>
            <w:tcBorders>
              <w:top w:val="single" w:color="B5C7EA" w:themeColor="accent1" w:themeTint="66" w:sz="6" w:space="0"/>
              <w:left w:val="single" w:color="4874CB" w:themeColor="accent1" w:sz="6" w:space="0"/>
              <w:bottom w:val="single" w:color="4874CB" w:themeColor="accent1" w:sz="6" w:space="0"/>
              <w:right w:val="single" w:color="B5C7EA" w:themeColor="accent1" w:themeTint="66" w:sz="6" w:space="0"/>
            </w:tcBorders>
            <w:shd w:val="clear" w:color="auto" w:fill="FFFFFF"/>
            <w:noWrap/>
            <w:tcMar>
              <w:left w:w="108" w:type="dxa"/>
              <w:right w:w="108" w:type="dxa"/>
            </w:tcMar>
            <w:vAlign w:val="center"/>
          </w:tcPr>
          <w:p w14:paraId="1AFE1981">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12</w:t>
            </w:r>
          </w:p>
        </w:tc>
        <w:tc>
          <w:tcPr>
            <w:tcW w:w="2363" w:type="dxa"/>
            <w:tcBorders>
              <w:top w:val="single" w:color="B5C7EA" w:themeColor="accent1" w:themeTint="66" w:sz="6" w:space="0"/>
              <w:left w:val="single" w:color="B5C7EA" w:themeColor="accent1" w:themeTint="66" w:sz="6" w:space="0"/>
              <w:bottom w:val="single" w:color="4874CB" w:themeColor="accent1" w:sz="6" w:space="0"/>
              <w:right w:val="single" w:color="B5C7EA" w:themeColor="accent1" w:themeTint="66" w:sz="6" w:space="0"/>
            </w:tcBorders>
            <w:shd w:val="clear" w:color="auto" w:fill="FFFFFF"/>
            <w:noWrap/>
            <w:tcMar>
              <w:left w:w="108" w:type="dxa"/>
              <w:right w:w="108" w:type="dxa"/>
            </w:tcMar>
            <w:vAlign w:val="center"/>
          </w:tcPr>
          <w:p w14:paraId="2125274F">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配件5</w:t>
            </w:r>
          </w:p>
        </w:tc>
        <w:tc>
          <w:tcPr>
            <w:tcW w:w="2829" w:type="dxa"/>
            <w:tcBorders>
              <w:top w:val="single" w:color="B5C7EA" w:themeColor="accent1" w:themeTint="66" w:sz="6" w:space="0"/>
              <w:left w:val="single" w:color="B5C7EA" w:themeColor="accent1" w:themeTint="66" w:sz="6" w:space="0"/>
              <w:bottom w:val="single" w:color="4874CB" w:themeColor="accent1" w:sz="6" w:space="0"/>
              <w:right w:val="single" w:color="B5C7EA" w:themeColor="accent1" w:themeTint="66" w:sz="6" w:space="0"/>
            </w:tcBorders>
            <w:shd w:val="clear" w:color="auto" w:fill="FFFFFF"/>
            <w:noWrap/>
            <w:tcMar>
              <w:left w:w="108" w:type="dxa"/>
              <w:right w:w="108" w:type="dxa"/>
            </w:tcMar>
            <w:vAlign w:val="center"/>
          </w:tcPr>
          <w:p w14:paraId="2961B314">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光纤线缆</w:t>
            </w:r>
          </w:p>
        </w:tc>
        <w:tc>
          <w:tcPr>
            <w:tcW w:w="767" w:type="dxa"/>
            <w:tcBorders>
              <w:top w:val="single" w:color="B5C7EA" w:themeColor="accent1" w:themeTint="66" w:sz="6" w:space="0"/>
              <w:left w:val="single" w:color="B5C7EA" w:themeColor="accent1" w:themeTint="66" w:sz="6" w:space="0"/>
              <w:bottom w:val="single" w:color="4874CB" w:themeColor="accent1" w:sz="6" w:space="0"/>
              <w:right w:val="single" w:color="B5C7EA" w:themeColor="accent1" w:themeTint="66" w:sz="6" w:space="0"/>
            </w:tcBorders>
            <w:shd w:val="clear" w:color="auto" w:fill="FFFFFF"/>
            <w:noWrap/>
            <w:tcMar>
              <w:left w:w="108" w:type="dxa"/>
              <w:right w:w="108" w:type="dxa"/>
            </w:tcMar>
            <w:vAlign w:val="center"/>
          </w:tcPr>
          <w:p w14:paraId="241FD4A5">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对</w:t>
            </w:r>
          </w:p>
        </w:tc>
        <w:tc>
          <w:tcPr>
            <w:tcW w:w="1199" w:type="dxa"/>
            <w:tcBorders>
              <w:top w:val="single" w:color="B5C7EA" w:themeColor="accent1" w:themeTint="66" w:sz="6" w:space="0"/>
              <w:left w:val="single" w:color="B5C7EA" w:themeColor="accent1" w:themeTint="66" w:sz="6" w:space="0"/>
              <w:bottom w:val="single" w:color="4874CB" w:themeColor="accent1" w:sz="6" w:space="0"/>
              <w:right w:val="single" w:color="4874CB" w:themeColor="accent1" w:sz="6" w:space="0"/>
            </w:tcBorders>
            <w:shd w:val="clear" w:color="auto" w:fill="FFFFFF"/>
            <w:noWrap/>
            <w:tcMar>
              <w:left w:w="108" w:type="dxa"/>
              <w:right w:w="108" w:type="dxa"/>
            </w:tcMar>
            <w:vAlign w:val="center"/>
          </w:tcPr>
          <w:p w14:paraId="742D7144">
            <w:pPr>
              <w:widowControl/>
              <w:snapToGrid w:val="0"/>
              <w:jc w:val="center"/>
              <w:textAlignment w:val="bottom"/>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bidi="ar"/>
              </w:rPr>
              <w:t>300</w:t>
            </w:r>
          </w:p>
        </w:tc>
      </w:tr>
    </w:tbl>
    <w:p w14:paraId="783A93FF">
      <w:pPr>
        <w:pStyle w:val="5"/>
        <w:ind w:firstLine="560"/>
        <w:jc w:val="both"/>
        <w:rPr>
          <w:rFonts w:hint="eastAsia" w:ascii="仿宋_GB2312" w:hAnsi="宋体" w:eastAsia="仿宋_GB2312" w:cs="Arial"/>
          <w:kern w:val="2"/>
          <w:sz w:val="28"/>
          <w:szCs w:val="21"/>
          <w:lang w:val="en-US" w:eastAsia="zh-CN" w:bidi="ar-SA"/>
        </w:rPr>
      </w:pPr>
      <w:r>
        <w:rPr>
          <w:rFonts w:hint="eastAsia" w:ascii="仿宋_GB2312" w:hAnsi="宋体" w:eastAsia="仿宋_GB2312" w:cs="Arial"/>
          <w:kern w:val="2"/>
          <w:sz w:val="28"/>
          <w:szCs w:val="21"/>
          <w:lang w:val="en-US" w:eastAsia="zh-CN" w:bidi="ar-SA"/>
        </w:rPr>
        <w:t>2.需求说明</w:t>
      </w:r>
    </w:p>
    <w:tbl>
      <w:tblPr>
        <w:tblStyle w:val="3"/>
        <w:tblW w:w="8845" w:type="dxa"/>
        <w:tblInd w:w="108" w:type="dxa"/>
        <w:tblLayout w:type="fixed"/>
        <w:tblCellMar>
          <w:top w:w="0" w:type="dxa"/>
          <w:left w:w="108" w:type="dxa"/>
          <w:bottom w:w="0" w:type="dxa"/>
          <w:right w:w="108" w:type="dxa"/>
        </w:tblCellMar>
      </w:tblPr>
      <w:tblGrid>
        <w:gridCol w:w="877"/>
        <w:gridCol w:w="1979"/>
        <w:gridCol w:w="5989"/>
      </w:tblGrid>
      <w:tr w14:paraId="28073196">
        <w:tblPrEx>
          <w:tblCellMar>
            <w:top w:w="0" w:type="dxa"/>
            <w:left w:w="108" w:type="dxa"/>
            <w:bottom w:w="0" w:type="dxa"/>
            <w:right w:w="108" w:type="dxa"/>
          </w:tblCellMar>
        </w:tblPrEx>
        <w:trPr>
          <w:tblHeader/>
        </w:trPr>
        <w:tc>
          <w:tcPr>
            <w:tcW w:w="877" w:type="dxa"/>
            <w:tcBorders>
              <w:top w:val="single" w:color="4874CB" w:themeColor="accent1" w:sz="6" w:space="0"/>
              <w:left w:val="single" w:color="4874CB" w:themeColor="accent1" w:sz="6" w:space="0"/>
              <w:bottom w:val="single" w:color="4874CB" w:themeColor="accent1" w:sz="6" w:space="0"/>
              <w:right w:val="single" w:color="B5C7EA" w:themeColor="accent1" w:themeTint="66" w:sz="6" w:space="0"/>
            </w:tcBorders>
            <w:shd w:val="clear" w:color="auto" w:fill="4874CB" w:themeFill="accent1"/>
            <w:noWrap/>
            <w:tcMar>
              <w:left w:w="108" w:type="dxa"/>
              <w:right w:w="108" w:type="dxa"/>
            </w:tcMar>
            <w:vAlign w:val="center"/>
          </w:tcPr>
          <w:p w14:paraId="0D811540">
            <w:pPr>
              <w:widowControl/>
              <w:snapToGrid w:val="0"/>
              <w:jc w:val="center"/>
              <w:textAlignment w:val="center"/>
              <w:rPr>
                <w:rFonts w:hint="eastAsia" w:ascii="微软雅黑" w:hAnsi="微软雅黑" w:eastAsia="微软雅黑" w:cs="微软雅黑"/>
                <w:b/>
                <w:color w:val="FFFFFF"/>
                <w:sz w:val="22"/>
                <w:szCs w:val="22"/>
              </w:rPr>
            </w:pPr>
            <w:r>
              <w:rPr>
                <w:rFonts w:hint="eastAsia" w:ascii="微软雅黑" w:hAnsi="微软雅黑" w:eastAsia="微软雅黑" w:cs="微软雅黑"/>
                <w:b/>
                <w:color w:val="FFFFFF"/>
                <w:kern w:val="0"/>
                <w:sz w:val="22"/>
                <w:szCs w:val="22"/>
                <w:lang w:bidi="ar"/>
              </w:rPr>
              <w:t>序号</w:t>
            </w:r>
          </w:p>
        </w:tc>
        <w:tc>
          <w:tcPr>
            <w:tcW w:w="1979" w:type="dxa"/>
            <w:tcBorders>
              <w:top w:val="single" w:color="4874CB" w:themeColor="accent1" w:sz="6" w:space="0"/>
              <w:left w:val="single" w:color="B5C7EA" w:themeColor="accent1" w:themeTint="66" w:sz="6" w:space="0"/>
              <w:bottom w:val="single" w:color="4874CB" w:themeColor="accent1" w:sz="6" w:space="0"/>
              <w:right w:val="single" w:color="B5C7EA" w:themeColor="accent1" w:themeTint="66" w:sz="6" w:space="0"/>
            </w:tcBorders>
            <w:shd w:val="clear" w:color="auto" w:fill="4874CB" w:themeFill="accent1"/>
            <w:noWrap/>
            <w:tcMar>
              <w:left w:w="108" w:type="dxa"/>
              <w:right w:w="108" w:type="dxa"/>
            </w:tcMar>
            <w:vAlign w:val="center"/>
          </w:tcPr>
          <w:p w14:paraId="2C18EBF4">
            <w:pPr>
              <w:widowControl/>
              <w:snapToGrid w:val="0"/>
              <w:jc w:val="center"/>
              <w:textAlignment w:val="center"/>
              <w:rPr>
                <w:rFonts w:hint="eastAsia" w:ascii="微软雅黑" w:hAnsi="微软雅黑" w:eastAsia="微软雅黑" w:cs="微软雅黑"/>
                <w:b/>
                <w:color w:val="FFFFFF"/>
                <w:sz w:val="22"/>
                <w:szCs w:val="22"/>
              </w:rPr>
            </w:pPr>
            <w:r>
              <w:rPr>
                <w:rFonts w:hint="eastAsia" w:ascii="微软雅黑" w:hAnsi="微软雅黑" w:eastAsia="微软雅黑" w:cs="微软雅黑"/>
                <w:b/>
                <w:color w:val="FFFFFF"/>
                <w:kern w:val="0"/>
                <w:sz w:val="22"/>
                <w:szCs w:val="22"/>
                <w:lang w:bidi="ar"/>
              </w:rPr>
              <w:t>产品名称</w:t>
            </w:r>
          </w:p>
        </w:tc>
        <w:tc>
          <w:tcPr>
            <w:tcW w:w="5989" w:type="dxa"/>
            <w:tcBorders>
              <w:top w:val="single" w:color="4874CB" w:themeColor="accent1" w:sz="6" w:space="0"/>
              <w:left w:val="single" w:color="B5C7EA" w:themeColor="accent1" w:themeTint="66" w:sz="6" w:space="0"/>
              <w:bottom w:val="single" w:color="4874CB" w:themeColor="accent1" w:sz="6" w:space="0"/>
              <w:right w:val="single" w:color="4874CB" w:themeColor="accent1" w:sz="6" w:space="0"/>
            </w:tcBorders>
            <w:shd w:val="clear" w:color="auto" w:fill="4874CB" w:themeFill="accent1"/>
            <w:noWrap/>
            <w:tcMar>
              <w:left w:w="108" w:type="dxa"/>
              <w:right w:w="108" w:type="dxa"/>
            </w:tcMar>
            <w:vAlign w:val="center"/>
          </w:tcPr>
          <w:p w14:paraId="5320AFDA">
            <w:pPr>
              <w:widowControl/>
              <w:snapToGrid w:val="0"/>
              <w:jc w:val="center"/>
              <w:textAlignment w:val="bottom"/>
              <w:rPr>
                <w:rFonts w:hint="eastAsia" w:ascii="微软雅黑" w:hAnsi="微软雅黑" w:eastAsia="微软雅黑" w:cs="微软雅黑"/>
                <w:b/>
                <w:color w:val="FFFFFF"/>
                <w:sz w:val="22"/>
                <w:szCs w:val="22"/>
              </w:rPr>
            </w:pPr>
            <w:r>
              <w:rPr>
                <w:rFonts w:hint="eastAsia" w:ascii="微软雅黑" w:hAnsi="微软雅黑" w:eastAsia="微软雅黑" w:cs="微软雅黑"/>
                <w:b/>
                <w:color w:val="FFFFFF"/>
                <w:kern w:val="0"/>
                <w:sz w:val="22"/>
                <w:szCs w:val="22"/>
                <w:lang w:bidi="ar"/>
              </w:rPr>
              <w:t>参数</w:t>
            </w:r>
          </w:p>
        </w:tc>
      </w:tr>
      <w:tr w14:paraId="5AA96DF2">
        <w:tblPrEx>
          <w:tblCellMar>
            <w:top w:w="0" w:type="dxa"/>
            <w:left w:w="108" w:type="dxa"/>
            <w:bottom w:w="0" w:type="dxa"/>
            <w:right w:w="108" w:type="dxa"/>
          </w:tblCellMar>
        </w:tblPrEx>
        <w:trPr>
          <w:trHeight w:val="5021" w:hRule="atLeast"/>
        </w:trPr>
        <w:tc>
          <w:tcPr>
            <w:tcW w:w="877" w:type="dxa"/>
            <w:tcBorders>
              <w:top w:val="single" w:color="4874CB" w:themeColor="accent1" w:sz="6" w:space="0"/>
              <w:left w:val="single" w:color="4874CB" w:themeColor="accent1"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370616D8">
            <w:pPr>
              <w:widowControl/>
              <w:snapToGrid w:val="0"/>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w:t>
            </w:r>
          </w:p>
        </w:tc>
        <w:tc>
          <w:tcPr>
            <w:tcW w:w="1979" w:type="dxa"/>
            <w:tcBorders>
              <w:top w:val="single" w:color="4874CB" w:themeColor="accent1"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7FA71DA7">
            <w:pPr>
              <w:widowControl/>
              <w:snapToGrid w:val="0"/>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核心交换机(Spine)</w:t>
            </w:r>
          </w:p>
        </w:tc>
        <w:tc>
          <w:tcPr>
            <w:tcW w:w="5989" w:type="dxa"/>
            <w:tcBorders>
              <w:top w:val="single" w:color="4874CB" w:themeColor="accent1" w:sz="6" w:space="0"/>
              <w:left w:val="single" w:color="B5C7EA" w:themeColor="accent1" w:themeTint="66" w:sz="6" w:space="0"/>
              <w:bottom w:val="single" w:color="B5C7EA" w:themeColor="accent1" w:themeTint="66" w:sz="6" w:space="0"/>
              <w:right w:val="single" w:color="4874CB" w:themeColor="accent1" w:sz="6" w:space="0"/>
            </w:tcBorders>
            <w:shd w:val="clear" w:color="auto" w:fill="FFFFFF"/>
            <w:tcMar>
              <w:left w:w="108" w:type="dxa"/>
              <w:right w:w="108" w:type="dxa"/>
            </w:tcMar>
            <w:vAlign w:val="center"/>
          </w:tcPr>
          <w:p w14:paraId="492990EB">
            <w:pPr>
              <w:widowControl/>
              <w:snapToGrid w:val="0"/>
              <w:jc w:val="left"/>
              <w:textAlignment w:val="bottom"/>
            </w:pPr>
            <w:r>
              <w:rPr>
                <w:rFonts w:hint="eastAsia" w:ascii="微软雅黑" w:hAnsi="微软雅黑" w:eastAsia="微软雅黑" w:cs="微软雅黑"/>
                <w:color w:val="000000"/>
                <w:kern w:val="0"/>
                <w:sz w:val="18"/>
                <w:szCs w:val="18"/>
                <w:lang w:bidi="ar"/>
              </w:rPr>
              <w:t>1、具备自主可控能力，产品的关键芯片（CPU 芯片和转发芯片）由产品制造商自研国产化芯片；</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2、交换容量≥460Tbps，包转发率≥76800Mpps ；</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3、整机主控引擎≥2，业务板槽位数≥6（主控含业务端口）；</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4、为保证设备可平滑演进至大流量场景，主控端口需支持切换至两个 100G 接口使用，为保证组网可靠性需要分布在 2个不同的线卡上；</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5、设备机箱（包括业务板卡区）采用后出风风道设计；</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6、支持颗粒化电源，整机电源槽位数≥6；</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7、支持IPv4/IPv6双协议栈，支持IPv6静态路由、RIPng、OSPFv3、BGP+、IPv6 IS-IS；</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8、支持VXLAN二层网关、三层网关，支持集中式网关，分布式网关，支持BGP-EVPN；</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9、支持横向虚拟化技术，将多台设备虚拟为一台设备，支持长距离集群，且支持虚拟化的板卡与业务板卡物理槽位分离；</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10、单台配置：主控≥2个，电源≥2个,万兆光口≥40个</w:t>
            </w:r>
          </w:p>
        </w:tc>
      </w:tr>
      <w:tr w14:paraId="03486A84">
        <w:tblPrEx>
          <w:tblCellMar>
            <w:top w:w="0" w:type="dxa"/>
            <w:left w:w="108" w:type="dxa"/>
            <w:bottom w:w="0" w:type="dxa"/>
            <w:right w:w="108" w:type="dxa"/>
          </w:tblCellMar>
        </w:tblPrEx>
        <w:tc>
          <w:tcPr>
            <w:tcW w:w="877" w:type="dxa"/>
            <w:tcBorders>
              <w:top w:val="single" w:color="B5C7EA" w:themeColor="accent1" w:themeTint="66" w:sz="6" w:space="0"/>
              <w:left w:val="single" w:color="4874CB" w:themeColor="accent1"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30EBD04E">
            <w:pPr>
              <w:widowControl/>
              <w:snapToGrid w:val="0"/>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w:t>
            </w:r>
          </w:p>
        </w:tc>
        <w:tc>
          <w:tcPr>
            <w:tcW w:w="1979"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61A30FAF">
            <w:pPr>
              <w:widowControl/>
              <w:snapToGrid w:val="0"/>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一类24口Leaf交换机</w:t>
            </w:r>
          </w:p>
        </w:tc>
        <w:tc>
          <w:tcPr>
            <w:tcW w:w="5989" w:type="dxa"/>
            <w:tcBorders>
              <w:top w:val="single" w:color="B5C7EA" w:themeColor="accent1" w:themeTint="66" w:sz="6" w:space="0"/>
              <w:left w:val="single" w:color="B5C7EA" w:themeColor="accent1" w:themeTint="66" w:sz="6" w:space="0"/>
              <w:bottom w:val="single" w:color="B5C7EA" w:themeColor="accent1" w:themeTint="66" w:sz="6" w:space="0"/>
              <w:right w:val="single" w:color="4874CB" w:themeColor="accent1" w:sz="6" w:space="0"/>
            </w:tcBorders>
            <w:shd w:val="clear" w:color="auto" w:fill="FFFFFF"/>
            <w:tcMar>
              <w:left w:w="108" w:type="dxa"/>
              <w:right w:w="108" w:type="dxa"/>
            </w:tcMar>
            <w:vAlign w:val="center"/>
          </w:tcPr>
          <w:p w14:paraId="479D9420">
            <w:pPr>
              <w:widowControl/>
              <w:snapToGrid w:val="0"/>
              <w:jc w:val="left"/>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1、具备自主可控能力，产品的关键芯片（CPU 芯片和转发芯片）由产品制造商自研国产化芯片；</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2、交换容量≥2.4Tbps；包转发率≥1600Mpps；</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3、配置≥24个万兆SFP+，6个40GE QSFP端口；</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4、支持静态路由、RIP V1/2、RIPng、OSPF、OSPFv3、IS-IS、IS-ISv6、BGP、BGP4+、ECMP、路由策略；</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5、支持基于源IPv6 地址、目的IPv6 地址、四层端口、协议类型等ACL；</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6、支持IP、MAC、端口、VLAN的组合绑定；</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7、支持MFF，支持IEEE 802.1X认证，支持单端口最大用户数限制；</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8、支持VXLAN二层网关、三层网关；                                                                                                                                                                                              9、配置双电源</w:t>
            </w:r>
          </w:p>
        </w:tc>
      </w:tr>
      <w:tr w14:paraId="637F2D4D">
        <w:tblPrEx>
          <w:tblCellMar>
            <w:top w:w="0" w:type="dxa"/>
            <w:left w:w="108" w:type="dxa"/>
            <w:bottom w:w="0" w:type="dxa"/>
            <w:right w:w="108" w:type="dxa"/>
          </w:tblCellMar>
        </w:tblPrEx>
        <w:tc>
          <w:tcPr>
            <w:tcW w:w="877" w:type="dxa"/>
            <w:tcBorders>
              <w:top w:val="single" w:color="B5C7EA" w:themeColor="accent1" w:themeTint="66" w:sz="6" w:space="0"/>
              <w:left w:val="single" w:color="4874CB" w:themeColor="accent1"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0C2B0A18">
            <w:pPr>
              <w:widowControl/>
              <w:snapToGrid w:val="0"/>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3</w:t>
            </w:r>
          </w:p>
        </w:tc>
        <w:tc>
          <w:tcPr>
            <w:tcW w:w="1979"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6A2F00C7">
            <w:pPr>
              <w:widowControl/>
              <w:snapToGrid w:val="0"/>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一类48口Leaf交换机</w:t>
            </w:r>
          </w:p>
        </w:tc>
        <w:tc>
          <w:tcPr>
            <w:tcW w:w="5989" w:type="dxa"/>
            <w:tcBorders>
              <w:top w:val="single" w:color="B5C7EA" w:themeColor="accent1" w:themeTint="66" w:sz="6" w:space="0"/>
              <w:left w:val="single" w:color="B5C7EA" w:themeColor="accent1" w:themeTint="66" w:sz="6" w:space="0"/>
              <w:bottom w:val="single" w:color="B5C7EA" w:themeColor="accent1" w:themeTint="66" w:sz="6" w:space="0"/>
              <w:right w:val="single" w:color="4874CB" w:themeColor="accent1" w:sz="6" w:space="0"/>
            </w:tcBorders>
            <w:shd w:val="clear" w:color="auto" w:fill="FFFFFF"/>
            <w:tcMar>
              <w:left w:w="108" w:type="dxa"/>
              <w:right w:w="108" w:type="dxa"/>
            </w:tcMar>
            <w:vAlign w:val="center"/>
          </w:tcPr>
          <w:p w14:paraId="283DBCC2">
            <w:pPr>
              <w:widowControl/>
              <w:numPr>
                <w:ilvl w:val="0"/>
                <w:numId w:val="0"/>
              </w:numPr>
              <w:snapToGrid w:val="0"/>
              <w:jc w:val="left"/>
              <w:textAlignment w:val="bottom"/>
            </w:pPr>
            <w:r>
              <w:rPr>
                <w:rFonts w:hint="eastAsia" w:ascii="微软雅黑" w:hAnsi="微软雅黑" w:eastAsia="微软雅黑" w:cs="微软雅黑"/>
                <w:color w:val="000000"/>
                <w:kern w:val="0"/>
                <w:sz w:val="18"/>
                <w:szCs w:val="18"/>
                <w:lang w:val="en-US" w:eastAsia="zh-CN" w:bidi="ar"/>
              </w:rPr>
              <w:t>1、</w:t>
            </w:r>
            <w:r>
              <w:rPr>
                <w:rFonts w:hint="eastAsia" w:ascii="微软雅黑" w:hAnsi="微软雅黑" w:eastAsia="微软雅黑" w:cs="微软雅黑"/>
                <w:color w:val="000000"/>
                <w:kern w:val="0"/>
                <w:sz w:val="18"/>
                <w:szCs w:val="18"/>
                <w:lang w:bidi="ar"/>
              </w:rPr>
              <w:t>具备自主可控能力，产品的关键芯片（CPU 芯片和转发芯片）由产品制造商自研国产化芯片；</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2、交换容量≥4Tbps；包转发率≥2000Mpps；</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3、配置≥48个万兆SFP+，6个100GE QSFP端口；</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4、支持静态路由、RIP V1/2、RIPng、OSPF、OSPFv3、IS-IS、IS-ISv6、BGP、BGP4+、ECMP、路由策略；</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5、支持基于源IPv6 地址、目的IPv6 地址、四层端口、协议类型等ACL；</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6、支持IP、MAC、端口、VLAN的组合绑定；</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7、支持MFF，支持IEEE 802.1X认证，支持单端口最大用户数限制；</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8、支持VXLAN二层网关、三层网关；</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9、配置双电源</w:t>
            </w:r>
          </w:p>
        </w:tc>
      </w:tr>
      <w:tr w14:paraId="071E3497">
        <w:tblPrEx>
          <w:tblCellMar>
            <w:top w:w="0" w:type="dxa"/>
            <w:left w:w="108" w:type="dxa"/>
            <w:bottom w:w="0" w:type="dxa"/>
            <w:right w:w="108" w:type="dxa"/>
          </w:tblCellMar>
        </w:tblPrEx>
        <w:tc>
          <w:tcPr>
            <w:tcW w:w="877" w:type="dxa"/>
            <w:tcBorders>
              <w:top w:val="single" w:color="B5C7EA" w:themeColor="accent1" w:themeTint="66" w:sz="6" w:space="0"/>
              <w:left w:val="single" w:color="4874CB" w:themeColor="accent1"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20F9C01C">
            <w:pPr>
              <w:widowControl/>
              <w:snapToGrid w:val="0"/>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4</w:t>
            </w:r>
          </w:p>
        </w:tc>
        <w:tc>
          <w:tcPr>
            <w:tcW w:w="1979"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284BC38C">
            <w:pPr>
              <w:widowControl/>
              <w:snapToGrid w:val="0"/>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二类24口Leaf交换机</w:t>
            </w:r>
          </w:p>
        </w:tc>
        <w:tc>
          <w:tcPr>
            <w:tcW w:w="5989" w:type="dxa"/>
            <w:tcBorders>
              <w:top w:val="single" w:color="B5C7EA" w:themeColor="accent1" w:themeTint="66" w:sz="6" w:space="0"/>
              <w:left w:val="single" w:color="B5C7EA" w:themeColor="accent1" w:themeTint="66" w:sz="6" w:space="0"/>
              <w:bottom w:val="single" w:color="B5C7EA" w:themeColor="accent1" w:themeTint="66" w:sz="6" w:space="0"/>
              <w:right w:val="single" w:color="4874CB" w:themeColor="accent1" w:sz="6" w:space="0"/>
            </w:tcBorders>
            <w:shd w:val="clear" w:color="auto" w:fill="FFFFFF"/>
            <w:tcMar>
              <w:left w:w="108" w:type="dxa"/>
              <w:right w:w="108" w:type="dxa"/>
            </w:tcMar>
            <w:vAlign w:val="center"/>
          </w:tcPr>
          <w:p w14:paraId="7D998F5F">
            <w:pPr>
              <w:widowControl/>
              <w:snapToGrid w:val="0"/>
              <w:jc w:val="left"/>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1、具备自主可控能力，产品的关键芯片（CPU 芯片和转发芯片）由产品制造商自研国产化芯片；</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2、千兆电口≥24个；万兆光口（SFP+）≥16个;25G光口（SFP28）≥8个；40G/100G混合端口（QSFP28）≥2个</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3、交换容量≥2.56Tbps，包转发率≥960Mpps，扩展插槽≥1</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4、含一个600W交流电源，支持 1+1 电源备份；支持高压直流输入；设备支持可插拔风扇模块≥2个</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5、VLAN≥4K，MAC≥64K，支持基本 QinQ 和灵活 QinQ，支持STP/RSTP/MSTP/ERPS</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6、支持IPV4/IPV6静态路由，支持 RIP、RIPng、OSPF、OSPFv3、BGP、BGP4+等协议</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7、支持智能堆叠，将多台支持堆叠特性的交换机组合在一起，从逻辑上虚拟为1台交换机</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8、支持支持Console、Telnet、SSH等终端服务，支持SNMP v1/v2/v3 ，RMON， Web等方式进行管理和维护，支持流遥感（Telemetry）技术</w:t>
            </w:r>
          </w:p>
        </w:tc>
      </w:tr>
      <w:tr w14:paraId="3E629316">
        <w:tblPrEx>
          <w:tblCellMar>
            <w:top w:w="0" w:type="dxa"/>
            <w:left w:w="108" w:type="dxa"/>
            <w:bottom w:w="0" w:type="dxa"/>
            <w:right w:w="108" w:type="dxa"/>
          </w:tblCellMar>
        </w:tblPrEx>
        <w:tc>
          <w:tcPr>
            <w:tcW w:w="877" w:type="dxa"/>
            <w:tcBorders>
              <w:top w:val="single" w:color="B5C7EA" w:themeColor="accent1" w:themeTint="66" w:sz="6" w:space="0"/>
              <w:left w:val="single" w:color="4874CB" w:themeColor="accent1"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2CD428BF">
            <w:pPr>
              <w:widowControl/>
              <w:snapToGrid w:val="0"/>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5</w:t>
            </w:r>
          </w:p>
        </w:tc>
        <w:tc>
          <w:tcPr>
            <w:tcW w:w="1979"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622C0173">
            <w:pPr>
              <w:widowControl/>
              <w:snapToGrid w:val="0"/>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三类24口Leaf交换机</w:t>
            </w:r>
          </w:p>
        </w:tc>
        <w:tc>
          <w:tcPr>
            <w:tcW w:w="5989" w:type="dxa"/>
            <w:tcBorders>
              <w:top w:val="single" w:color="B5C7EA" w:themeColor="accent1" w:themeTint="66" w:sz="6" w:space="0"/>
              <w:left w:val="single" w:color="B5C7EA" w:themeColor="accent1" w:themeTint="66" w:sz="6" w:space="0"/>
              <w:bottom w:val="single" w:color="B5C7EA" w:themeColor="accent1" w:themeTint="66" w:sz="6" w:space="0"/>
              <w:right w:val="single" w:color="4874CB" w:themeColor="accent1" w:sz="6" w:space="0"/>
            </w:tcBorders>
            <w:shd w:val="clear" w:color="auto" w:fill="FFFFFF"/>
            <w:tcMar>
              <w:left w:w="108" w:type="dxa"/>
              <w:right w:w="108" w:type="dxa"/>
            </w:tcMar>
            <w:vAlign w:val="center"/>
          </w:tcPr>
          <w:p w14:paraId="4D407F5B">
            <w:pPr>
              <w:widowControl/>
              <w:snapToGrid w:val="0"/>
              <w:jc w:val="left"/>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1、具备自主可控能力，产品的关键芯片（CPU 芯片和转发芯片）由产品制造商自研国产化芯片；</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2、千兆电口≥24个，25G光口≥8个</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3、交换容量≥2.4Tbps，包转发率≥480Mpps</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4、含一个80W交流电源，支持 1+1 电源冗余备份；支持高压直流输入，支持交流电和直流电源模块混插；设备支持可插拔风扇模块≥2个</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5、支持基于 MAC/协议/IP 子网/策略/端口的 VLAN，支持Voice VLAN、MUX VLAN 功能，支持STP/RSTP/MSTP/ERPS</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6、支持IPV4/IPV6静态路由，支持策略路由，支持 RIP、RIPng、OSPF、OSPFv2、OSPFv3、IS-IS、IS-ISv6、BGP、BGP4+、VRRP、VRRP6、ECMP</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7、支持 IPv4/IPv6 双协议栈，支持 IPv6Ping、IPv6Tracert、IPv6Telnet、DHCPv6 server等IPv6特性</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8、支持防止 DOS、ARP 攻击功能、ICMP 防攻击，支持跨设备链路聚合M-LAG，支持CPU 保护功能，支持 Radius、HWTACACS用户登录认证</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9、支持智能堆叠，将多台支持堆叠特性的交换机组合在一起，从逻辑上虚拟为1台交换机</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10、支持SNMPV1/2c/V3、CLI(命令行)、Web 网管、SSHV2.0 等多样化的管理和维护方式</w:t>
            </w:r>
          </w:p>
        </w:tc>
      </w:tr>
      <w:tr w14:paraId="4F7E875F">
        <w:tblPrEx>
          <w:tblCellMar>
            <w:top w:w="0" w:type="dxa"/>
            <w:left w:w="108" w:type="dxa"/>
            <w:bottom w:w="0" w:type="dxa"/>
            <w:right w:w="108" w:type="dxa"/>
          </w:tblCellMar>
        </w:tblPrEx>
        <w:tc>
          <w:tcPr>
            <w:tcW w:w="877" w:type="dxa"/>
            <w:tcBorders>
              <w:top w:val="single" w:color="B5C7EA" w:themeColor="accent1" w:themeTint="66" w:sz="6" w:space="0"/>
              <w:left w:val="single" w:color="4874CB" w:themeColor="accent1"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66B18257">
            <w:pPr>
              <w:widowControl/>
              <w:snapToGrid w:val="0"/>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6</w:t>
            </w:r>
          </w:p>
        </w:tc>
        <w:tc>
          <w:tcPr>
            <w:tcW w:w="1979"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42E22B28">
            <w:pPr>
              <w:widowControl/>
              <w:snapToGrid w:val="0"/>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24口接入交换机</w:t>
            </w:r>
          </w:p>
        </w:tc>
        <w:tc>
          <w:tcPr>
            <w:tcW w:w="5989" w:type="dxa"/>
            <w:tcBorders>
              <w:top w:val="single" w:color="B5C7EA" w:themeColor="accent1" w:themeTint="66" w:sz="6" w:space="0"/>
              <w:left w:val="single" w:color="B5C7EA" w:themeColor="accent1" w:themeTint="66" w:sz="6" w:space="0"/>
              <w:bottom w:val="single" w:color="B5C7EA" w:themeColor="accent1" w:themeTint="66" w:sz="6" w:space="0"/>
              <w:right w:val="single" w:color="4874CB" w:themeColor="accent1" w:sz="6" w:space="0"/>
            </w:tcBorders>
            <w:shd w:val="clear" w:color="auto" w:fill="FFFFFF"/>
            <w:tcMar>
              <w:left w:w="108" w:type="dxa"/>
              <w:right w:w="108" w:type="dxa"/>
            </w:tcMar>
            <w:vAlign w:val="center"/>
          </w:tcPr>
          <w:p w14:paraId="799E786B">
            <w:pPr>
              <w:widowControl/>
              <w:snapToGrid w:val="0"/>
              <w:jc w:val="left"/>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1、交换容量≥670Gbps；转发性能≥120Mpp；</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2、配置≥24个10/100/1000 Base-T以太网端口，4个万兆SFP+端口；</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3、支持复位按钮和清配置按钮（PNP），忘记密码可以通过按钮恢复出厂设置；</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4、MAC地址规格≥16K，支持MAC地址自动学习和老化；</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5、支持4K个VLAN，支持1:1和N:1 VLAN Mapping功能；</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6、支持静态路由、RIPv1/2、RIPng、OSPF、OSPFv3；</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7、支持智能堆叠；</w:t>
            </w:r>
          </w:p>
        </w:tc>
      </w:tr>
      <w:tr w14:paraId="0BE3E4A6">
        <w:tblPrEx>
          <w:tblCellMar>
            <w:top w:w="0" w:type="dxa"/>
            <w:left w:w="108" w:type="dxa"/>
            <w:bottom w:w="0" w:type="dxa"/>
            <w:right w:w="108" w:type="dxa"/>
          </w:tblCellMar>
        </w:tblPrEx>
        <w:tc>
          <w:tcPr>
            <w:tcW w:w="877" w:type="dxa"/>
            <w:tcBorders>
              <w:top w:val="single" w:color="B5C7EA" w:themeColor="accent1" w:themeTint="66" w:sz="6" w:space="0"/>
              <w:left w:val="single" w:color="4874CB" w:themeColor="accent1"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441C33EF">
            <w:pPr>
              <w:widowControl/>
              <w:snapToGrid w:val="0"/>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7</w:t>
            </w:r>
          </w:p>
        </w:tc>
        <w:tc>
          <w:tcPr>
            <w:tcW w:w="1979"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09012B4C">
            <w:pPr>
              <w:widowControl/>
              <w:snapToGrid w:val="0"/>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48口接入交换机</w:t>
            </w:r>
          </w:p>
        </w:tc>
        <w:tc>
          <w:tcPr>
            <w:tcW w:w="5989" w:type="dxa"/>
            <w:tcBorders>
              <w:top w:val="single" w:color="B5C7EA" w:themeColor="accent1" w:themeTint="66" w:sz="6" w:space="0"/>
              <w:left w:val="single" w:color="B5C7EA" w:themeColor="accent1" w:themeTint="66" w:sz="6" w:space="0"/>
              <w:bottom w:val="single" w:color="B5C7EA" w:themeColor="accent1" w:themeTint="66" w:sz="6" w:space="0"/>
              <w:right w:val="single" w:color="4874CB" w:themeColor="accent1" w:sz="6" w:space="0"/>
            </w:tcBorders>
            <w:shd w:val="clear" w:color="auto" w:fill="FFFFFF"/>
            <w:tcMar>
              <w:left w:w="108" w:type="dxa"/>
              <w:right w:w="108" w:type="dxa"/>
            </w:tcMar>
            <w:vAlign w:val="center"/>
          </w:tcPr>
          <w:p w14:paraId="0CE6C36D">
            <w:pPr>
              <w:widowControl/>
              <w:snapToGrid w:val="0"/>
              <w:jc w:val="left"/>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1、交换容量≥670Gbps；转发性能≥160Mpp；</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2、配置≥48个10/100/1000BASE-T以太网端口，4个万兆SFP+端口；</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3、支持复位按钮和清配置按钮（PNP），忘记密码可以通过按钮恢复出厂设置；</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4、MAC地址规格≥16K，支持MAC地址自动学习和老化；</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5、支持4K个VLAN，支持1:1和N:1 VLAN Mapping功能；</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6、支持静态路由、RIPv1/2、RIPng、OSPF、OSPFv3；</w:t>
            </w:r>
            <w:r>
              <w:rPr>
                <w:rFonts w:hint="eastAsia" w:ascii="微软雅黑" w:hAnsi="微软雅黑" w:eastAsia="微软雅黑" w:cs="微软雅黑"/>
                <w:color w:val="000000"/>
                <w:kern w:val="0"/>
                <w:sz w:val="18"/>
                <w:szCs w:val="18"/>
                <w:lang w:bidi="ar"/>
              </w:rPr>
              <w:br w:type="textWrapping"/>
            </w:r>
            <w:r>
              <w:rPr>
                <w:rFonts w:hint="eastAsia" w:ascii="微软雅黑" w:hAnsi="微软雅黑" w:eastAsia="微软雅黑" w:cs="微软雅黑"/>
                <w:color w:val="000000"/>
                <w:kern w:val="0"/>
                <w:sz w:val="18"/>
                <w:szCs w:val="18"/>
                <w:lang w:bidi="ar"/>
              </w:rPr>
              <w:t>7、支持智能堆叠。</w:t>
            </w:r>
          </w:p>
        </w:tc>
      </w:tr>
      <w:tr w14:paraId="6CB934B7">
        <w:tblPrEx>
          <w:tblCellMar>
            <w:top w:w="0" w:type="dxa"/>
            <w:left w:w="108" w:type="dxa"/>
            <w:bottom w:w="0" w:type="dxa"/>
            <w:right w:w="108" w:type="dxa"/>
          </w:tblCellMar>
        </w:tblPrEx>
        <w:tc>
          <w:tcPr>
            <w:tcW w:w="877" w:type="dxa"/>
            <w:tcBorders>
              <w:top w:val="single" w:color="B5C7EA" w:themeColor="accent1" w:themeTint="66" w:sz="6" w:space="0"/>
              <w:left w:val="single" w:color="4874CB" w:themeColor="accent1"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40C762B0">
            <w:pPr>
              <w:widowControl/>
              <w:snapToGrid w:val="0"/>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8</w:t>
            </w:r>
          </w:p>
        </w:tc>
        <w:tc>
          <w:tcPr>
            <w:tcW w:w="1979"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3C21BE1F">
            <w:pPr>
              <w:widowControl/>
              <w:snapToGrid w:val="0"/>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配件1</w:t>
            </w:r>
          </w:p>
        </w:tc>
        <w:tc>
          <w:tcPr>
            <w:tcW w:w="5989" w:type="dxa"/>
            <w:tcBorders>
              <w:top w:val="single" w:color="B5C7EA" w:themeColor="accent1" w:themeTint="66" w:sz="6" w:space="0"/>
              <w:left w:val="single" w:color="B5C7EA" w:themeColor="accent1" w:themeTint="66" w:sz="6" w:space="0"/>
              <w:bottom w:val="single" w:color="B5C7EA" w:themeColor="accent1" w:themeTint="66" w:sz="6" w:space="0"/>
              <w:right w:val="single" w:color="4874CB" w:themeColor="accent1" w:sz="6" w:space="0"/>
            </w:tcBorders>
            <w:shd w:val="clear" w:color="auto" w:fill="FFFFFF"/>
            <w:noWrap/>
            <w:tcMar>
              <w:left w:w="108" w:type="dxa"/>
              <w:right w:w="108" w:type="dxa"/>
            </w:tcMar>
            <w:vAlign w:val="center"/>
          </w:tcPr>
          <w:p w14:paraId="75879056">
            <w:pPr>
              <w:widowControl/>
              <w:snapToGrid w:val="0"/>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支持万兆多模，波长850nm，传输距离0.3KM。</w:t>
            </w:r>
          </w:p>
        </w:tc>
      </w:tr>
      <w:tr w14:paraId="1D6EE3EF">
        <w:tblPrEx>
          <w:tblCellMar>
            <w:top w:w="0" w:type="dxa"/>
            <w:left w:w="108" w:type="dxa"/>
            <w:bottom w:w="0" w:type="dxa"/>
            <w:right w:w="108" w:type="dxa"/>
          </w:tblCellMar>
        </w:tblPrEx>
        <w:tc>
          <w:tcPr>
            <w:tcW w:w="877" w:type="dxa"/>
            <w:tcBorders>
              <w:top w:val="single" w:color="B5C7EA" w:themeColor="accent1" w:themeTint="66" w:sz="6" w:space="0"/>
              <w:left w:val="single" w:color="4874CB" w:themeColor="accent1"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18284BE4">
            <w:pPr>
              <w:widowControl/>
              <w:snapToGrid w:val="0"/>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9</w:t>
            </w:r>
          </w:p>
        </w:tc>
        <w:tc>
          <w:tcPr>
            <w:tcW w:w="1979"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5CF42399">
            <w:pPr>
              <w:widowControl/>
              <w:snapToGrid w:val="0"/>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配件2</w:t>
            </w:r>
          </w:p>
        </w:tc>
        <w:tc>
          <w:tcPr>
            <w:tcW w:w="5989" w:type="dxa"/>
            <w:tcBorders>
              <w:top w:val="single" w:color="B5C7EA" w:themeColor="accent1" w:themeTint="66" w:sz="6" w:space="0"/>
              <w:left w:val="single" w:color="B5C7EA" w:themeColor="accent1" w:themeTint="66" w:sz="6" w:space="0"/>
              <w:bottom w:val="single" w:color="B5C7EA" w:themeColor="accent1" w:themeTint="66" w:sz="6" w:space="0"/>
              <w:right w:val="single" w:color="4874CB" w:themeColor="accent1" w:sz="6" w:space="0"/>
            </w:tcBorders>
            <w:shd w:val="clear" w:color="auto" w:fill="FFFFFF"/>
            <w:noWrap/>
            <w:tcMar>
              <w:left w:w="108" w:type="dxa"/>
              <w:right w:w="108" w:type="dxa"/>
            </w:tcMar>
            <w:vAlign w:val="center"/>
          </w:tcPr>
          <w:p w14:paraId="1D068026">
            <w:pPr>
              <w:widowControl/>
              <w:snapToGrid w:val="0"/>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sz w:val="18"/>
                <w:szCs w:val="18"/>
              </w:rPr>
              <w:t>支持</w:t>
            </w:r>
            <w:r>
              <w:rPr>
                <w:rFonts w:hint="eastAsia" w:ascii="微软雅黑" w:hAnsi="微软雅黑" w:eastAsia="微软雅黑" w:cs="微软雅黑"/>
                <w:color w:val="000000"/>
                <w:sz w:val="18"/>
                <w:szCs w:val="18"/>
              </w:rPr>
              <w:t>万兆单模，波长1310nm，传输距离10KM。</w:t>
            </w:r>
          </w:p>
        </w:tc>
      </w:tr>
      <w:tr w14:paraId="5BCE51D6">
        <w:tblPrEx>
          <w:tblCellMar>
            <w:top w:w="0" w:type="dxa"/>
            <w:left w:w="108" w:type="dxa"/>
            <w:bottom w:w="0" w:type="dxa"/>
            <w:right w:w="108" w:type="dxa"/>
          </w:tblCellMar>
        </w:tblPrEx>
        <w:tc>
          <w:tcPr>
            <w:tcW w:w="877" w:type="dxa"/>
            <w:tcBorders>
              <w:top w:val="single" w:color="B5C7EA" w:themeColor="accent1" w:themeTint="66" w:sz="6" w:space="0"/>
              <w:left w:val="single" w:color="4874CB" w:themeColor="accent1"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422B0F28">
            <w:pPr>
              <w:widowControl/>
              <w:snapToGrid w:val="0"/>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10</w:t>
            </w:r>
          </w:p>
        </w:tc>
        <w:tc>
          <w:tcPr>
            <w:tcW w:w="1979"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08F14860">
            <w:pPr>
              <w:widowControl/>
              <w:snapToGrid w:val="0"/>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配件3</w:t>
            </w:r>
          </w:p>
        </w:tc>
        <w:tc>
          <w:tcPr>
            <w:tcW w:w="5989" w:type="dxa"/>
            <w:tcBorders>
              <w:top w:val="single" w:color="B5C7EA" w:themeColor="accent1" w:themeTint="66" w:sz="6" w:space="0"/>
              <w:left w:val="single" w:color="B5C7EA" w:themeColor="accent1" w:themeTint="66" w:sz="6" w:space="0"/>
              <w:bottom w:val="single" w:color="B5C7EA" w:themeColor="accent1" w:themeTint="66" w:sz="6" w:space="0"/>
              <w:right w:val="single" w:color="4874CB" w:themeColor="accent1" w:sz="6" w:space="0"/>
            </w:tcBorders>
            <w:shd w:val="clear" w:color="auto" w:fill="FFFFFF"/>
            <w:noWrap/>
            <w:tcMar>
              <w:left w:w="108" w:type="dxa"/>
              <w:right w:w="108" w:type="dxa"/>
            </w:tcMar>
            <w:vAlign w:val="center"/>
          </w:tcPr>
          <w:p w14:paraId="2B72525C">
            <w:pPr>
              <w:widowControl/>
              <w:snapToGrid w:val="0"/>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支持千兆单模，波长1310nm，传输距离10KM。</w:t>
            </w:r>
          </w:p>
        </w:tc>
      </w:tr>
      <w:tr w14:paraId="39BD8E7F">
        <w:tblPrEx>
          <w:tblCellMar>
            <w:top w:w="0" w:type="dxa"/>
            <w:left w:w="108" w:type="dxa"/>
            <w:bottom w:w="0" w:type="dxa"/>
            <w:right w:w="108" w:type="dxa"/>
          </w:tblCellMar>
        </w:tblPrEx>
        <w:tc>
          <w:tcPr>
            <w:tcW w:w="877" w:type="dxa"/>
            <w:tcBorders>
              <w:top w:val="single" w:color="B5C7EA" w:themeColor="accent1" w:themeTint="66" w:sz="6" w:space="0"/>
              <w:left w:val="single" w:color="4874CB" w:themeColor="accent1"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15266459">
            <w:pPr>
              <w:widowControl/>
              <w:snapToGrid w:val="0"/>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11</w:t>
            </w:r>
          </w:p>
        </w:tc>
        <w:tc>
          <w:tcPr>
            <w:tcW w:w="1979" w:type="dxa"/>
            <w:tcBorders>
              <w:top w:val="single" w:color="B5C7EA" w:themeColor="accent1" w:themeTint="66" w:sz="6" w:space="0"/>
              <w:left w:val="single" w:color="B5C7EA" w:themeColor="accent1" w:themeTint="66" w:sz="6" w:space="0"/>
              <w:bottom w:val="single" w:color="B5C7EA" w:themeColor="accent1" w:themeTint="66" w:sz="6" w:space="0"/>
              <w:right w:val="single" w:color="B5C7EA" w:themeColor="accent1" w:themeTint="66" w:sz="6" w:space="0"/>
            </w:tcBorders>
            <w:shd w:val="clear" w:color="auto" w:fill="FFFFFF"/>
            <w:noWrap/>
            <w:tcMar>
              <w:left w:w="108" w:type="dxa"/>
              <w:right w:w="108" w:type="dxa"/>
            </w:tcMar>
            <w:vAlign w:val="center"/>
          </w:tcPr>
          <w:p w14:paraId="7CE4697E">
            <w:pPr>
              <w:widowControl/>
              <w:snapToGrid w:val="0"/>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配件4</w:t>
            </w:r>
          </w:p>
        </w:tc>
        <w:tc>
          <w:tcPr>
            <w:tcW w:w="5989" w:type="dxa"/>
            <w:tcBorders>
              <w:top w:val="single" w:color="B5C7EA" w:themeColor="accent1" w:themeTint="66" w:sz="6" w:space="0"/>
              <w:left w:val="single" w:color="B5C7EA" w:themeColor="accent1" w:themeTint="66" w:sz="6" w:space="0"/>
              <w:bottom w:val="single" w:color="B5C7EA" w:themeColor="accent1" w:themeTint="66" w:sz="6" w:space="0"/>
              <w:right w:val="single" w:color="4874CB" w:themeColor="accent1" w:sz="6" w:space="0"/>
            </w:tcBorders>
            <w:shd w:val="clear" w:color="auto" w:fill="FFFFFF"/>
            <w:noWrap/>
            <w:tcMar>
              <w:left w:w="108" w:type="dxa"/>
              <w:right w:w="108" w:type="dxa"/>
            </w:tcMar>
            <w:vAlign w:val="center"/>
          </w:tcPr>
          <w:p w14:paraId="61B00BB2">
            <w:pPr>
              <w:widowControl/>
              <w:snapToGrid w:val="0"/>
              <w:jc w:val="left"/>
              <w:textAlignment w:val="center"/>
              <w:rPr>
                <w:rFonts w:hint="default"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万兆堆叠电缆，1米。</w:t>
            </w:r>
          </w:p>
        </w:tc>
      </w:tr>
      <w:tr w14:paraId="28CA284C">
        <w:tblPrEx>
          <w:tblCellMar>
            <w:top w:w="0" w:type="dxa"/>
            <w:left w:w="108" w:type="dxa"/>
            <w:bottom w:w="0" w:type="dxa"/>
            <w:right w:w="108" w:type="dxa"/>
          </w:tblCellMar>
        </w:tblPrEx>
        <w:tc>
          <w:tcPr>
            <w:tcW w:w="877" w:type="dxa"/>
            <w:tcBorders>
              <w:top w:val="single" w:color="B5C7EA" w:themeColor="accent1" w:themeTint="66" w:sz="6" w:space="0"/>
              <w:left w:val="single" w:color="4874CB" w:themeColor="accent1" w:sz="6" w:space="0"/>
              <w:bottom w:val="single" w:color="4874CB" w:themeColor="accent1" w:sz="6" w:space="0"/>
              <w:right w:val="single" w:color="B5C7EA" w:themeColor="accent1" w:themeTint="66" w:sz="6" w:space="0"/>
            </w:tcBorders>
            <w:shd w:val="clear" w:color="auto" w:fill="FFFFFF"/>
            <w:noWrap/>
            <w:tcMar>
              <w:left w:w="108" w:type="dxa"/>
              <w:right w:w="108" w:type="dxa"/>
            </w:tcMar>
            <w:vAlign w:val="center"/>
          </w:tcPr>
          <w:p w14:paraId="38106804">
            <w:pPr>
              <w:widowControl/>
              <w:snapToGrid w:val="0"/>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12</w:t>
            </w:r>
          </w:p>
        </w:tc>
        <w:tc>
          <w:tcPr>
            <w:tcW w:w="1979" w:type="dxa"/>
            <w:tcBorders>
              <w:top w:val="single" w:color="B5C7EA" w:themeColor="accent1" w:themeTint="66" w:sz="6" w:space="0"/>
              <w:left w:val="single" w:color="B5C7EA" w:themeColor="accent1" w:themeTint="66" w:sz="6" w:space="0"/>
              <w:bottom w:val="single" w:color="4874CB" w:themeColor="accent1" w:sz="6" w:space="0"/>
              <w:right w:val="single" w:color="B5C7EA" w:themeColor="accent1" w:themeTint="66" w:sz="6" w:space="0"/>
            </w:tcBorders>
            <w:shd w:val="clear" w:color="auto" w:fill="FFFFFF"/>
            <w:noWrap/>
            <w:tcMar>
              <w:left w:w="108" w:type="dxa"/>
              <w:right w:w="108" w:type="dxa"/>
            </w:tcMar>
            <w:vAlign w:val="center"/>
          </w:tcPr>
          <w:p w14:paraId="68733F09">
            <w:pPr>
              <w:widowControl/>
              <w:snapToGrid w:val="0"/>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配件5</w:t>
            </w:r>
          </w:p>
        </w:tc>
        <w:tc>
          <w:tcPr>
            <w:tcW w:w="5989" w:type="dxa"/>
            <w:tcBorders>
              <w:top w:val="single" w:color="B5C7EA" w:themeColor="accent1" w:themeTint="66" w:sz="6" w:space="0"/>
              <w:left w:val="single" w:color="B5C7EA" w:themeColor="accent1" w:themeTint="66" w:sz="6" w:space="0"/>
              <w:bottom w:val="single" w:color="4874CB" w:themeColor="accent1" w:sz="6" w:space="0"/>
              <w:right w:val="single" w:color="4874CB" w:themeColor="accent1" w:sz="6" w:space="0"/>
            </w:tcBorders>
            <w:shd w:val="clear" w:color="auto" w:fill="FFFFFF"/>
            <w:noWrap/>
            <w:tcMar>
              <w:left w:w="108" w:type="dxa"/>
              <w:right w:w="108" w:type="dxa"/>
            </w:tcMar>
            <w:vAlign w:val="center"/>
          </w:tcPr>
          <w:p w14:paraId="28463774">
            <w:pPr>
              <w:widowControl/>
              <w:snapToGrid w:val="0"/>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光线跳线LC双芯，</w:t>
            </w:r>
            <w:r>
              <w:rPr>
                <w:rFonts w:hint="eastAsia" w:ascii="微软雅黑" w:hAnsi="微软雅黑" w:eastAsia="微软雅黑" w:cs="微软雅黑"/>
                <w:kern w:val="0"/>
                <w:sz w:val="18"/>
                <w:szCs w:val="18"/>
                <w:lang w:bidi="ar"/>
              </w:rPr>
              <w:t>3米。</w:t>
            </w:r>
          </w:p>
        </w:tc>
      </w:tr>
    </w:tbl>
    <w:p w14:paraId="178E148C">
      <w:pPr>
        <w:pStyle w:val="5"/>
        <w:ind w:firstLine="560" w:firstLineChars="200"/>
        <w:rPr>
          <w:rFonts w:hint="eastAsia" w:ascii="仿宋_GB2312" w:eastAsia="仿宋_GB2312"/>
          <w:sz w:val="28"/>
          <w:szCs w:val="28"/>
        </w:rPr>
      </w:pPr>
      <w:r>
        <w:rPr>
          <w:rFonts w:hint="eastAsia" w:ascii="仿宋_GB2312" w:eastAsia="仿宋_GB2312"/>
          <w:sz w:val="28"/>
          <w:szCs w:val="28"/>
        </w:rPr>
        <w:t>注：1.</w:t>
      </w:r>
      <w:r>
        <w:rPr>
          <w:rFonts w:hint="eastAsia" w:ascii="仿宋_GB2312" w:eastAsia="仿宋_GB2312"/>
          <w:b/>
          <w:bCs/>
          <w:sz w:val="28"/>
          <w:szCs w:val="28"/>
        </w:rPr>
        <w:t>本项目采购控制价为</w:t>
      </w:r>
      <w:r>
        <w:rPr>
          <w:rFonts w:hint="eastAsia" w:ascii="仿宋_GB2312" w:eastAsia="仿宋_GB2312"/>
          <w:b/>
          <w:bCs/>
          <w:sz w:val="28"/>
          <w:szCs w:val="28"/>
          <w:lang w:val="en-US" w:eastAsia="zh-CN"/>
        </w:rPr>
        <w:t>4</w:t>
      </w:r>
      <w:r>
        <w:rPr>
          <w:rFonts w:hint="eastAsia" w:ascii="仿宋_GB2312" w:eastAsia="仿宋_GB2312"/>
          <w:b/>
          <w:bCs/>
          <w:sz w:val="28"/>
          <w:szCs w:val="28"/>
        </w:rPr>
        <w:t>8.</w:t>
      </w:r>
      <w:r>
        <w:rPr>
          <w:rFonts w:hint="eastAsia" w:ascii="仿宋_GB2312" w:eastAsia="仿宋_GB2312"/>
          <w:b/>
          <w:bCs/>
          <w:sz w:val="28"/>
          <w:szCs w:val="28"/>
          <w:lang w:val="en-US" w:eastAsia="zh-CN"/>
        </w:rPr>
        <w:t>6</w:t>
      </w:r>
      <w:r>
        <w:rPr>
          <w:rFonts w:hint="eastAsia" w:ascii="仿宋_GB2312" w:eastAsia="仿宋_GB2312"/>
          <w:b/>
          <w:bCs/>
          <w:sz w:val="28"/>
          <w:szCs w:val="28"/>
        </w:rPr>
        <w:t>万元人民币</w:t>
      </w:r>
      <w:r>
        <w:rPr>
          <w:rFonts w:hint="eastAsia" w:ascii="仿宋_GB2312" w:eastAsia="仿宋_GB2312"/>
          <w:sz w:val="28"/>
          <w:szCs w:val="28"/>
        </w:rPr>
        <w:t>；</w:t>
      </w:r>
    </w:p>
    <w:p w14:paraId="40B6FF86">
      <w:pPr>
        <w:pStyle w:val="5"/>
        <w:ind w:firstLine="560" w:firstLineChars="200"/>
        <w:rPr>
          <w:rFonts w:hint="eastAsia" w:ascii="仿宋_GB2312" w:eastAsia="仿宋_GB2312"/>
          <w:sz w:val="28"/>
          <w:szCs w:val="28"/>
        </w:rPr>
      </w:pPr>
      <w:r>
        <w:rPr>
          <w:rFonts w:hint="eastAsia" w:ascii="仿宋_GB2312" w:eastAsia="仿宋_GB2312"/>
          <w:sz w:val="28"/>
          <w:szCs w:val="28"/>
        </w:rPr>
        <w:t>2.成交供应商不得转包和分包；</w:t>
      </w:r>
    </w:p>
    <w:p w14:paraId="47758827">
      <w:pPr>
        <w:pStyle w:val="5"/>
        <w:ind w:firstLine="560" w:firstLineChars="200"/>
        <w:rPr>
          <w:rFonts w:hint="eastAsia" w:ascii="仿宋_GB2312" w:eastAsia="仿宋_GB2312"/>
          <w:sz w:val="28"/>
          <w:szCs w:val="28"/>
        </w:rPr>
      </w:pPr>
      <w:r>
        <w:rPr>
          <w:rFonts w:hint="eastAsia" w:ascii="仿宋_GB2312" w:eastAsia="仿宋_GB2312"/>
          <w:sz w:val="28"/>
          <w:szCs w:val="28"/>
        </w:rPr>
        <w:t>3.要求供应商提供的其它伴随服务（或义务）。</w:t>
      </w:r>
    </w:p>
    <w:p w14:paraId="02F51D28">
      <w:pPr>
        <w:tabs>
          <w:tab w:val="left" w:pos="0"/>
        </w:tabs>
        <w:adjustRightInd w:val="0"/>
        <w:spacing w:line="560" w:lineRule="exact"/>
        <w:ind w:firstLine="562" w:firstLineChars="200"/>
        <w:rPr>
          <w:rFonts w:hint="default" w:ascii="黑体" w:hAnsi="黑体" w:eastAsia="黑体"/>
          <w:b/>
          <w:sz w:val="28"/>
          <w:szCs w:val="28"/>
          <w:lang w:val="en-US"/>
        </w:rPr>
      </w:pPr>
      <w:r>
        <w:rPr>
          <w:rFonts w:hint="eastAsia" w:ascii="黑体" w:hAnsi="黑体" w:eastAsia="黑体"/>
          <w:b/>
          <w:sz w:val="28"/>
          <w:szCs w:val="28"/>
        </w:rPr>
        <w:t>二、</w:t>
      </w:r>
      <w:r>
        <w:rPr>
          <w:rFonts w:hint="eastAsia" w:ascii="黑体" w:hAnsi="黑体" w:eastAsia="黑体"/>
          <w:b/>
          <w:sz w:val="28"/>
          <w:szCs w:val="28"/>
          <w:lang w:val="en-US" w:eastAsia="zh-CN"/>
        </w:rPr>
        <w:t>技术要求</w:t>
      </w:r>
    </w:p>
    <w:p w14:paraId="129B10E6">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 xml:space="preserve">1. </w:t>
      </w:r>
      <w:r>
        <w:rPr>
          <w:rFonts w:hint="eastAsia" w:ascii="仿宋_GB2312" w:eastAsia="仿宋_GB2312"/>
          <w:sz w:val="28"/>
          <w:szCs w:val="28"/>
        </w:rPr>
        <w:t>项目实施要求</w:t>
      </w:r>
    </w:p>
    <w:p w14:paraId="364236B4">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 xml:space="preserve">1.1★ </w:t>
      </w:r>
      <w:r>
        <w:rPr>
          <w:rFonts w:hint="eastAsia" w:ascii="仿宋_GB2312" w:eastAsia="仿宋_GB2312"/>
          <w:sz w:val="28"/>
          <w:szCs w:val="28"/>
        </w:rPr>
        <w:t>工作内容要求</w:t>
      </w:r>
    </w:p>
    <w:p w14:paraId="2CF6C830">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1.1.1</w:t>
      </w:r>
      <w:r>
        <w:rPr>
          <w:rFonts w:hint="eastAsia" w:ascii="仿宋_GB2312" w:eastAsia="仿宋_GB2312"/>
          <w:sz w:val="28"/>
          <w:szCs w:val="28"/>
        </w:rPr>
        <w:t>设备部署</w:t>
      </w:r>
    </w:p>
    <w:p w14:paraId="34B6E283">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按</w:t>
      </w:r>
      <w:r>
        <w:rPr>
          <w:rFonts w:hint="eastAsia" w:ascii="仿宋_GB2312" w:eastAsia="仿宋_GB2312"/>
          <w:sz w:val="28"/>
          <w:szCs w:val="28"/>
          <w:lang w:val="en-US" w:eastAsia="zh-CN"/>
        </w:rPr>
        <w:t>招标人的</w:t>
      </w:r>
      <w:r>
        <w:rPr>
          <w:rFonts w:hint="eastAsia" w:ascii="仿宋_GB2312" w:eastAsia="仿宋_GB2312"/>
          <w:sz w:val="28"/>
          <w:szCs w:val="28"/>
        </w:rPr>
        <w:t>技术人员指定方式完成所采购设备上架、安装、调试、理线等工作。</w:t>
      </w:r>
    </w:p>
    <w:p w14:paraId="76632539">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1.1.2</w:t>
      </w:r>
      <w:r>
        <w:rPr>
          <w:rFonts w:hint="eastAsia" w:ascii="仿宋_GB2312" w:eastAsia="仿宋_GB2312"/>
          <w:sz w:val="28"/>
          <w:szCs w:val="28"/>
        </w:rPr>
        <w:t>功能调试</w:t>
      </w:r>
    </w:p>
    <w:p w14:paraId="179B8C0A">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按</w:t>
      </w:r>
      <w:r>
        <w:rPr>
          <w:rFonts w:hint="eastAsia" w:ascii="仿宋_GB2312" w:eastAsia="仿宋_GB2312"/>
          <w:sz w:val="28"/>
          <w:szCs w:val="28"/>
          <w:lang w:val="en-US" w:eastAsia="zh-CN"/>
        </w:rPr>
        <w:t>招标人的</w:t>
      </w:r>
      <w:r>
        <w:rPr>
          <w:rFonts w:hint="eastAsia" w:ascii="仿宋_GB2312" w:eastAsia="仿宋_GB2312"/>
          <w:sz w:val="28"/>
          <w:szCs w:val="28"/>
        </w:rPr>
        <w:t>技术人员指定方式完成现场网络设备的安装部署及整套网络基础平台的调优工作，确保各项功能正常。</w:t>
      </w:r>
    </w:p>
    <w:p w14:paraId="71D05464">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 xml:space="preserve">1.1.3 </w:t>
      </w:r>
      <w:r>
        <w:rPr>
          <w:rFonts w:hint="eastAsia" w:ascii="仿宋_GB2312" w:eastAsia="仿宋_GB2312"/>
          <w:sz w:val="28"/>
          <w:szCs w:val="28"/>
        </w:rPr>
        <w:t>资料整理</w:t>
      </w:r>
    </w:p>
    <w:p w14:paraId="47F55F2E">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按</w:t>
      </w:r>
      <w:r>
        <w:rPr>
          <w:rFonts w:hint="eastAsia" w:ascii="仿宋_GB2312" w:eastAsia="仿宋_GB2312"/>
          <w:sz w:val="28"/>
          <w:szCs w:val="28"/>
          <w:lang w:val="en-US" w:eastAsia="zh-CN"/>
        </w:rPr>
        <w:t>招标人的</w:t>
      </w:r>
      <w:r>
        <w:rPr>
          <w:rFonts w:hint="eastAsia" w:ascii="仿宋_GB2312" w:eastAsia="仿宋_GB2312"/>
          <w:sz w:val="28"/>
          <w:szCs w:val="28"/>
        </w:rPr>
        <w:t>技术人员指定方式完成设备上架后的资产清理、台账维护。</w:t>
      </w:r>
    </w:p>
    <w:p w14:paraId="7C0501BA">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1.2★</w:t>
      </w:r>
      <w:r>
        <w:rPr>
          <w:rFonts w:hint="eastAsia" w:ascii="仿宋_GB2312" w:eastAsia="仿宋_GB2312"/>
          <w:sz w:val="28"/>
          <w:szCs w:val="28"/>
        </w:rPr>
        <w:t>人员要求</w:t>
      </w:r>
    </w:p>
    <w:p w14:paraId="1BFC9D25">
      <w:pPr>
        <w:tabs>
          <w:tab w:val="left" w:pos="0"/>
        </w:tabs>
        <w:adjustRightInd w:val="0"/>
        <w:spacing w:line="56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rPr>
        <w:t>项目实施人员必须为原厂技术工程师，工程师人数&gt;=2</w:t>
      </w:r>
      <w:r>
        <w:rPr>
          <w:rFonts w:hint="eastAsia" w:ascii="仿宋_GB2312" w:eastAsia="仿宋_GB2312"/>
          <w:sz w:val="28"/>
          <w:szCs w:val="28"/>
          <w:lang w:eastAsia="zh-CN"/>
        </w:rPr>
        <w:t>，</w:t>
      </w:r>
      <w:r>
        <w:rPr>
          <w:rFonts w:hint="eastAsia" w:ascii="仿宋_GB2312" w:eastAsia="仿宋_GB2312"/>
          <w:sz w:val="28"/>
          <w:szCs w:val="28"/>
          <w:lang w:val="en-US" w:eastAsia="zh-CN"/>
        </w:rPr>
        <w:t>投标人须提供承诺函</w:t>
      </w:r>
      <w:r>
        <w:rPr>
          <w:rFonts w:hint="eastAsia" w:ascii="仿宋_GB2312" w:eastAsia="仿宋_GB2312"/>
          <w:sz w:val="28"/>
          <w:szCs w:val="28"/>
          <w:lang w:eastAsia="zh-CN"/>
        </w:rPr>
        <w:t>。</w:t>
      </w:r>
    </w:p>
    <w:p w14:paraId="453BCF37">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rPr>
        <w:t>.3</w:t>
      </w:r>
      <w:r>
        <w:rPr>
          <w:rFonts w:hint="eastAsia" w:ascii="仿宋_GB2312" w:eastAsia="仿宋_GB2312"/>
          <w:sz w:val="28"/>
          <w:szCs w:val="28"/>
          <w:lang w:val="en-US" w:eastAsia="zh-CN"/>
        </w:rPr>
        <w:t>★</w:t>
      </w:r>
      <w:r>
        <w:rPr>
          <w:rFonts w:hint="eastAsia" w:ascii="仿宋_GB2312" w:eastAsia="仿宋_GB2312"/>
          <w:sz w:val="28"/>
          <w:szCs w:val="28"/>
        </w:rPr>
        <w:t>实施过程要求</w:t>
      </w:r>
    </w:p>
    <w:p w14:paraId="04BC04A4">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1.3.1</w:t>
      </w:r>
      <w:r>
        <w:rPr>
          <w:rFonts w:hint="eastAsia" w:ascii="仿宋_GB2312" w:eastAsia="仿宋_GB2312"/>
          <w:sz w:val="28"/>
          <w:szCs w:val="28"/>
        </w:rPr>
        <w:t>实施过程规范要求</w:t>
      </w:r>
    </w:p>
    <w:p w14:paraId="3D4A0E8A">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项目实施应符合</w:t>
      </w:r>
      <w:r>
        <w:rPr>
          <w:rFonts w:hint="eastAsia" w:ascii="仿宋_GB2312" w:eastAsia="仿宋_GB2312"/>
          <w:sz w:val="28"/>
          <w:szCs w:val="28"/>
          <w:lang w:val="en-US" w:eastAsia="zh-CN"/>
        </w:rPr>
        <w:t>招标人</w:t>
      </w:r>
      <w:r>
        <w:rPr>
          <w:rFonts w:hint="eastAsia" w:ascii="仿宋_GB2312" w:eastAsia="仿宋_GB2312"/>
          <w:sz w:val="28"/>
          <w:szCs w:val="28"/>
        </w:rPr>
        <w:t>机房管理规范、理线标准、卫生要求。实施过程中应保持机房的干净整洁，</w:t>
      </w:r>
      <w:r>
        <w:rPr>
          <w:rFonts w:hint="eastAsia" w:ascii="仿宋_GB2312" w:eastAsia="仿宋_GB2312"/>
          <w:sz w:val="28"/>
          <w:szCs w:val="28"/>
          <w:lang w:val="en-US" w:eastAsia="zh-CN"/>
        </w:rPr>
        <w:t>投标人</w:t>
      </w:r>
      <w:r>
        <w:rPr>
          <w:rFonts w:hint="eastAsia" w:ascii="仿宋_GB2312" w:eastAsia="仿宋_GB2312"/>
          <w:sz w:val="28"/>
          <w:szCs w:val="28"/>
        </w:rPr>
        <w:t>须提供设备互联所需的所有光纤、网线跳线，按理线标准整。</w:t>
      </w:r>
    </w:p>
    <w:p w14:paraId="66B2DDA5">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1.3.2</w:t>
      </w:r>
      <w:r>
        <w:rPr>
          <w:rFonts w:hint="eastAsia" w:ascii="仿宋_GB2312" w:eastAsia="仿宋_GB2312"/>
          <w:sz w:val="28"/>
          <w:szCs w:val="28"/>
        </w:rPr>
        <w:t>实施过程信息保密要求</w:t>
      </w:r>
    </w:p>
    <w:p w14:paraId="1B46F02A">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实施过程及实施完成后，</w:t>
      </w:r>
      <w:r>
        <w:rPr>
          <w:rFonts w:hint="eastAsia" w:ascii="仿宋_GB2312" w:eastAsia="仿宋_GB2312"/>
          <w:sz w:val="28"/>
          <w:szCs w:val="28"/>
          <w:lang w:val="en-US" w:eastAsia="zh-CN"/>
        </w:rPr>
        <w:t>投标人</w:t>
      </w:r>
      <w:r>
        <w:rPr>
          <w:rFonts w:hint="eastAsia" w:ascii="仿宋_GB2312" w:eastAsia="仿宋_GB2312"/>
          <w:sz w:val="28"/>
          <w:szCs w:val="28"/>
        </w:rPr>
        <w:t>及原厂均不得对外泄漏公司信息及项目建设信息。包括网络拓扑、关键设备信息等。</w:t>
      </w:r>
    </w:p>
    <w:p w14:paraId="3D16DB82">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rPr>
        <w:t>.4</w:t>
      </w:r>
      <w:r>
        <w:rPr>
          <w:rFonts w:hint="eastAsia" w:ascii="仿宋_GB2312" w:eastAsia="仿宋_GB2312"/>
          <w:sz w:val="28"/>
          <w:szCs w:val="28"/>
          <w:lang w:val="en-US" w:eastAsia="zh-CN"/>
        </w:rPr>
        <w:t>★</w:t>
      </w:r>
      <w:r>
        <w:rPr>
          <w:rFonts w:hint="eastAsia" w:ascii="仿宋_GB2312" w:eastAsia="仿宋_GB2312"/>
          <w:sz w:val="28"/>
          <w:szCs w:val="28"/>
        </w:rPr>
        <w:t>安全要求</w:t>
      </w:r>
    </w:p>
    <w:p w14:paraId="33964E05">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1.4.1</w:t>
      </w:r>
      <w:r>
        <w:rPr>
          <w:rFonts w:hint="eastAsia" w:ascii="仿宋_GB2312" w:eastAsia="仿宋_GB2312"/>
          <w:sz w:val="28"/>
          <w:szCs w:val="28"/>
        </w:rPr>
        <w:t>保密协议要求</w:t>
      </w:r>
    </w:p>
    <w:p w14:paraId="438A8986">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须与</w:t>
      </w:r>
      <w:r>
        <w:rPr>
          <w:rFonts w:hint="eastAsia" w:ascii="仿宋_GB2312" w:eastAsia="仿宋_GB2312"/>
          <w:sz w:val="28"/>
          <w:szCs w:val="28"/>
          <w:lang w:val="en-US" w:eastAsia="zh-CN"/>
        </w:rPr>
        <w:t>招标人</w:t>
      </w:r>
      <w:r>
        <w:rPr>
          <w:rFonts w:hint="eastAsia" w:ascii="仿宋_GB2312" w:eastAsia="仿宋_GB2312"/>
          <w:sz w:val="28"/>
          <w:szCs w:val="28"/>
        </w:rPr>
        <w:t>签订并遵守《网络安全协议》、《信息安全保密协议》。</w:t>
      </w:r>
    </w:p>
    <w:p w14:paraId="32FA86A2">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1.4.2</w:t>
      </w:r>
      <w:r>
        <w:rPr>
          <w:rFonts w:hint="eastAsia" w:ascii="仿宋_GB2312" w:eastAsia="仿宋_GB2312"/>
          <w:sz w:val="28"/>
          <w:szCs w:val="28"/>
        </w:rPr>
        <w:t>实施安全要求</w:t>
      </w:r>
    </w:p>
    <w:p w14:paraId="07F9AE5E">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提供维保服务时，均需提供完整的维保服务方案、风险评估、回退方案等。</w:t>
      </w:r>
    </w:p>
    <w:p w14:paraId="012CFE13">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1.4.3</w:t>
      </w:r>
      <w:r>
        <w:rPr>
          <w:rFonts w:hint="eastAsia" w:ascii="仿宋_GB2312" w:eastAsia="仿宋_GB2312"/>
          <w:sz w:val="28"/>
          <w:szCs w:val="28"/>
        </w:rPr>
        <w:t>质量和检验标准要求</w:t>
      </w:r>
    </w:p>
    <w:p w14:paraId="1A9FF0D2">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所提供的产品和服务必须遵守国家、地方及行业相关法律法规、规范和标准，若标准、规范与本项目技术规范要求之间发生冲突，采用其中最为严格的要求。</w:t>
      </w:r>
    </w:p>
    <w:p w14:paraId="7D0523C3">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1.4.4</w:t>
      </w:r>
      <w:r>
        <w:rPr>
          <w:rFonts w:hint="eastAsia" w:ascii="仿宋_GB2312" w:eastAsia="仿宋_GB2312"/>
          <w:sz w:val="28"/>
          <w:szCs w:val="28"/>
        </w:rPr>
        <w:t>知识产权保护要求</w:t>
      </w:r>
    </w:p>
    <w:p w14:paraId="3A58141C">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提供的的产品和维保服务不能存在任务权利瑕疵、不能侵犯任何第三方权利。</w:t>
      </w:r>
    </w:p>
    <w:p w14:paraId="016F977D">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1.4.5</w:t>
      </w:r>
      <w:r>
        <w:rPr>
          <w:rFonts w:hint="eastAsia" w:ascii="仿宋_GB2312" w:eastAsia="仿宋_GB2312"/>
          <w:sz w:val="28"/>
          <w:szCs w:val="28"/>
        </w:rPr>
        <w:t>信息保密要求</w:t>
      </w:r>
    </w:p>
    <w:p w14:paraId="3E5F0D93">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提供维保服务应恪守保密要求，包括但不限于对重要数据、商业信息、技术信息、个人信息的保密。</w:t>
      </w:r>
    </w:p>
    <w:p w14:paraId="2F099D25">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 xml:space="preserve">1.4.6. </w:t>
      </w:r>
      <w:r>
        <w:rPr>
          <w:rFonts w:hint="eastAsia" w:ascii="仿宋_GB2312" w:eastAsia="仿宋_GB2312"/>
          <w:sz w:val="28"/>
          <w:szCs w:val="28"/>
        </w:rPr>
        <w:t>安全合规要求</w:t>
      </w:r>
    </w:p>
    <w:p w14:paraId="3D58043B">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不得提供未通过网络安全审查办公室进行的网络安全审查的产品、配件或服务。</w:t>
      </w:r>
    </w:p>
    <w:p w14:paraId="4F1001F2">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 xml:space="preserve">1.4.7 </w:t>
      </w:r>
      <w:r>
        <w:rPr>
          <w:rFonts w:hint="eastAsia" w:ascii="仿宋_GB2312" w:eastAsia="仿宋_GB2312"/>
          <w:sz w:val="28"/>
          <w:szCs w:val="28"/>
        </w:rPr>
        <w:t>安全保障要求</w:t>
      </w:r>
    </w:p>
    <w:p w14:paraId="2A4255F8">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设备维保期内，提供每年重大活动网络信息安全保障或网络攻防演练期间的技术保障，包含安全策略优化、攻击监测分析、应急事件处置和攻击溯源分析等安全服务内容，需安排至少1名原厂认证工程师提供7*24小时技术支持，并提供服务承诺函。</w:t>
      </w:r>
    </w:p>
    <w:p w14:paraId="27697CC9">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w:t>
      </w:r>
      <w:r>
        <w:rPr>
          <w:rFonts w:hint="eastAsia" w:ascii="仿宋_GB2312" w:eastAsia="仿宋_GB2312"/>
          <w:sz w:val="28"/>
          <w:szCs w:val="28"/>
          <w:lang w:val="en-US" w:eastAsia="zh-CN"/>
        </w:rPr>
        <w:t xml:space="preserve"> </w:t>
      </w:r>
      <w:r>
        <w:rPr>
          <w:rFonts w:hint="eastAsia" w:ascii="仿宋_GB2312" w:eastAsia="仿宋_GB2312"/>
          <w:sz w:val="28"/>
          <w:szCs w:val="28"/>
        </w:rPr>
        <w:t>项目验收要求</w:t>
      </w:r>
    </w:p>
    <w:p w14:paraId="709F94E5">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2.1</w:t>
      </w:r>
      <w:r>
        <w:rPr>
          <w:rFonts w:hint="eastAsia" w:ascii="仿宋_GB2312" w:eastAsia="仿宋_GB2312"/>
          <w:sz w:val="28"/>
          <w:szCs w:val="28"/>
        </w:rPr>
        <w:t>完成系统调试，完成项目技术要求所罗列的各项需求，系统运转正常。</w:t>
      </w:r>
    </w:p>
    <w:p w14:paraId="29866CF9">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2.2</w:t>
      </w:r>
      <w:r>
        <w:rPr>
          <w:rFonts w:hint="eastAsia" w:ascii="仿宋_GB2312" w:eastAsia="仿宋_GB2312"/>
          <w:sz w:val="28"/>
          <w:szCs w:val="28"/>
        </w:rPr>
        <w:t>按要求正确实现合同所约定的各项功能。</w:t>
      </w:r>
    </w:p>
    <w:p w14:paraId="78B1CE50">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2.3</w:t>
      </w:r>
      <w:r>
        <w:rPr>
          <w:rFonts w:hint="eastAsia" w:ascii="仿宋_GB2312" w:eastAsia="仿宋_GB2312"/>
          <w:sz w:val="28"/>
          <w:szCs w:val="28"/>
        </w:rPr>
        <w:t>完成项目验收评审。</w:t>
      </w:r>
    </w:p>
    <w:p w14:paraId="0FCAA3CC">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2.4</w:t>
      </w:r>
      <w:r>
        <w:rPr>
          <w:rFonts w:hint="eastAsia" w:ascii="仿宋_GB2312" w:eastAsia="仿宋_GB2312"/>
          <w:sz w:val="28"/>
          <w:szCs w:val="28"/>
        </w:rPr>
        <w:t>按我司要求的理线标准来整理强弱电线路。</w:t>
      </w:r>
    </w:p>
    <w:p w14:paraId="2130107D">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2.5</w:t>
      </w:r>
      <w:r>
        <w:rPr>
          <w:rFonts w:hint="eastAsia" w:ascii="仿宋_GB2312" w:eastAsia="仿宋_GB2312"/>
          <w:sz w:val="28"/>
          <w:szCs w:val="28"/>
        </w:rPr>
        <w:t>完成系统调试并正常运行30天。</w:t>
      </w:r>
    </w:p>
    <w:p w14:paraId="3F2C7383">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2.6</w:t>
      </w:r>
      <w:r>
        <w:rPr>
          <w:rFonts w:hint="eastAsia" w:ascii="仿宋_GB2312" w:eastAsia="仿宋_GB2312"/>
          <w:sz w:val="28"/>
          <w:szCs w:val="28"/>
        </w:rPr>
        <w:t>提供网络实施结果报告和运维资料（实施文档、网络拓扑、运维手册、应急手册等）相关文档。</w:t>
      </w:r>
    </w:p>
    <w:p w14:paraId="6071A254">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 xml:space="preserve">3. ★ </w:t>
      </w:r>
      <w:r>
        <w:rPr>
          <w:rFonts w:hint="eastAsia" w:ascii="仿宋_GB2312" w:eastAsia="仿宋_GB2312"/>
          <w:sz w:val="28"/>
          <w:szCs w:val="28"/>
        </w:rPr>
        <w:t>售后服务要求</w:t>
      </w:r>
    </w:p>
    <w:p w14:paraId="065E03E9">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3.1</w:t>
      </w:r>
      <w:r>
        <w:rPr>
          <w:rFonts w:hint="eastAsia" w:ascii="仿宋_GB2312" w:eastAsia="仿宋_GB2312"/>
          <w:sz w:val="28"/>
          <w:szCs w:val="28"/>
        </w:rPr>
        <w:t>提供服务期内3年7*24小时热线技术支持、现场维护支持和原厂备件响应服务，响应时间为</w:t>
      </w:r>
      <w:r>
        <w:rPr>
          <w:rFonts w:hint="eastAsia" w:ascii="仿宋_GB2312" w:eastAsia="仿宋_GB2312"/>
          <w:sz w:val="28"/>
          <w:szCs w:val="28"/>
          <w:lang w:val="en-US" w:eastAsia="zh-CN"/>
        </w:rPr>
        <w:t>招标人</w:t>
      </w:r>
      <w:r>
        <w:rPr>
          <w:rFonts w:hint="eastAsia" w:ascii="仿宋_GB2312" w:eastAsia="仿宋_GB2312"/>
          <w:sz w:val="28"/>
          <w:szCs w:val="28"/>
        </w:rPr>
        <w:t>通知后10分钟以内，30分钟提出解决方案，并承诺在接到</w:t>
      </w:r>
      <w:r>
        <w:rPr>
          <w:rFonts w:hint="eastAsia" w:ascii="仿宋_GB2312" w:eastAsia="仿宋_GB2312"/>
          <w:sz w:val="28"/>
          <w:szCs w:val="28"/>
          <w:lang w:val="en-US" w:eastAsia="zh-CN"/>
        </w:rPr>
        <w:t>招标人</w:t>
      </w:r>
      <w:r>
        <w:rPr>
          <w:rFonts w:hint="eastAsia" w:ascii="仿宋_GB2312" w:eastAsia="仿宋_GB2312"/>
          <w:sz w:val="28"/>
          <w:szCs w:val="28"/>
        </w:rPr>
        <w:t>通知后1个小时内到达故障所在地点，在到达现场后2小时内解决故障或恢复系统正常运行，出现硬件问题提供设备整机保障，需在6小时内提供备件并完成更换。如</w:t>
      </w:r>
      <w:r>
        <w:rPr>
          <w:rFonts w:hint="eastAsia" w:ascii="仿宋_GB2312" w:eastAsia="仿宋_GB2312"/>
          <w:sz w:val="28"/>
          <w:szCs w:val="28"/>
          <w:lang w:val="en-US" w:eastAsia="zh-CN"/>
        </w:rPr>
        <w:t>投标人</w:t>
      </w:r>
      <w:r>
        <w:rPr>
          <w:rFonts w:hint="eastAsia" w:ascii="仿宋_GB2312" w:eastAsia="仿宋_GB2312"/>
          <w:sz w:val="28"/>
          <w:szCs w:val="28"/>
        </w:rPr>
        <w:t>无法在约定时间内解决故障，届时由</w:t>
      </w:r>
      <w:r>
        <w:rPr>
          <w:rFonts w:hint="eastAsia" w:ascii="仿宋_GB2312" w:eastAsia="仿宋_GB2312"/>
          <w:sz w:val="28"/>
          <w:szCs w:val="28"/>
          <w:lang w:val="en-US" w:eastAsia="zh-CN"/>
        </w:rPr>
        <w:t>招标人</w:t>
      </w:r>
      <w:r>
        <w:rPr>
          <w:rFonts w:hint="eastAsia" w:ascii="仿宋_GB2312" w:eastAsia="仿宋_GB2312"/>
          <w:sz w:val="28"/>
          <w:szCs w:val="28"/>
        </w:rPr>
        <w:t>提出要求，</w:t>
      </w:r>
      <w:r>
        <w:rPr>
          <w:rFonts w:hint="eastAsia" w:ascii="仿宋_GB2312" w:eastAsia="仿宋_GB2312"/>
          <w:sz w:val="28"/>
          <w:szCs w:val="28"/>
          <w:lang w:val="en-US" w:eastAsia="zh-CN"/>
        </w:rPr>
        <w:t>投标人</w:t>
      </w:r>
      <w:r>
        <w:rPr>
          <w:rFonts w:hint="eastAsia" w:ascii="仿宋_GB2312" w:eastAsia="仿宋_GB2312"/>
          <w:sz w:val="28"/>
          <w:szCs w:val="28"/>
        </w:rPr>
        <w:t>应无条件提起原厂问题单，寻求原厂协助，在此期间出现的费用由</w:t>
      </w:r>
      <w:r>
        <w:rPr>
          <w:rFonts w:hint="eastAsia" w:ascii="仿宋_GB2312" w:eastAsia="仿宋_GB2312"/>
          <w:sz w:val="28"/>
          <w:szCs w:val="28"/>
          <w:lang w:val="en-US" w:eastAsia="zh-CN"/>
        </w:rPr>
        <w:t>投标人</w:t>
      </w:r>
      <w:r>
        <w:rPr>
          <w:rFonts w:hint="eastAsia" w:ascii="仿宋_GB2312" w:eastAsia="仿宋_GB2312"/>
          <w:sz w:val="28"/>
          <w:szCs w:val="28"/>
        </w:rPr>
        <w:t>承担。</w:t>
      </w:r>
    </w:p>
    <w:p w14:paraId="0EFC35BE">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3.2</w:t>
      </w:r>
      <w:r>
        <w:rPr>
          <w:rFonts w:hint="eastAsia" w:ascii="仿宋_GB2312" w:eastAsia="仿宋_GB2312"/>
          <w:sz w:val="28"/>
          <w:szCs w:val="28"/>
        </w:rPr>
        <w:t>季度设备巡检：按</w:t>
      </w:r>
      <w:r>
        <w:rPr>
          <w:rFonts w:hint="eastAsia" w:ascii="仿宋_GB2312" w:eastAsia="仿宋_GB2312"/>
          <w:sz w:val="28"/>
          <w:szCs w:val="28"/>
          <w:lang w:val="en-US" w:eastAsia="zh-CN"/>
        </w:rPr>
        <w:t>招标人</w:t>
      </w:r>
      <w:r>
        <w:rPr>
          <w:rFonts w:hint="eastAsia" w:ascii="仿宋_GB2312" w:eastAsia="仿宋_GB2312"/>
          <w:sz w:val="28"/>
          <w:szCs w:val="28"/>
        </w:rPr>
        <w:t>约定的巡检规范，提供每季度1次的原厂巡检服务，并在巡检结束后7个工作日内提交季度巡检报告、30个工作日内完成巡检问题项整改，并提供《全年总结报告》。</w:t>
      </w:r>
    </w:p>
    <w:p w14:paraId="15ADE57C">
      <w:pPr>
        <w:tabs>
          <w:tab w:val="left" w:pos="0"/>
        </w:tabs>
        <w:adjustRightInd w:val="0"/>
        <w:spacing w:line="560" w:lineRule="exact"/>
        <w:ind w:firstLine="562" w:firstLineChars="200"/>
        <w:rPr>
          <w:rFonts w:hint="default" w:ascii="仿宋_GB2312" w:eastAsia="黑体"/>
          <w:sz w:val="28"/>
          <w:szCs w:val="28"/>
          <w:lang w:val="en-US" w:eastAsia="zh-CN"/>
        </w:rPr>
      </w:pPr>
      <w:r>
        <w:rPr>
          <w:rFonts w:hint="eastAsia" w:ascii="黑体" w:hAnsi="黑体" w:eastAsia="黑体"/>
          <w:b/>
          <w:sz w:val="28"/>
          <w:szCs w:val="28"/>
          <w:lang w:val="en-US" w:eastAsia="zh-CN"/>
        </w:rPr>
        <w:t>二</w:t>
      </w:r>
      <w:r>
        <w:rPr>
          <w:rFonts w:ascii="黑体" w:hAnsi="黑体" w:eastAsia="黑体"/>
          <w:b/>
          <w:sz w:val="28"/>
          <w:szCs w:val="28"/>
        </w:rPr>
        <w:t>、</w:t>
      </w:r>
      <w:r>
        <w:rPr>
          <w:rFonts w:hint="eastAsia" w:ascii="黑体" w:hAnsi="黑体" w:eastAsia="黑体"/>
          <w:b/>
          <w:sz w:val="28"/>
          <w:szCs w:val="28"/>
          <w:lang w:val="en-US" w:eastAsia="zh-CN"/>
        </w:rPr>
        <w:t>投标要求</w:t>
      </w:r>
    </w:p>
    <w:p w14:paraId="11829BC2">
      <w:pPr>
        <w:tabs>
          <w:tab w:val="left" w:pos="0"/>
        </w:tabs>
        <w:adjustRightInd w:val="0"/>
        <w:spacing w:line="560" w:lineRule="exact"/>
        <w:ind w:firstLine="560" w:firstLineChars="200"/>
        <w:rPr>
          <w:rFonts w:hint="eastAsia" w:ascii="仿宋_GB2312" w:hAnsi="宋体" w:eastAsia="仿宋_GB2312" w:cs="Arial"/>
          <w:sz w:val="28"/>
          <w:szCs w:val="28"/>
        </w:rPr>
      </w:pPr>
      <w:r>
        <w:rPr>
          <w:rFonts w:hint="eastAsia" w:ascii="仿宋_GB2312" w:hAnsi="宋体" w:eastAsia="仿宋_GB2312" w:cs="Arial"/>
          <w:sz w:val="28"/>
          <w:szCs w:val="28"/>
        </w:rPr>
        <w:t>1</w:t>
      </w:r>
      <w:r>
        <w:rPr>
          <w:rFonts w:hint="eastAsia" w:ascii="仿宋_GB2312" w:hAnsi="宋体" w:eastAsia="仿宋_GB2312" w:cs="Arial"/>
          <w:sz w:val="28"/>
          <w:szCs w:val="28"/>
          <w:lang w:val="en-US" w:eastAsia="zh-CN"/>
        </w:rPr>
        <w:t xml:space="preserve">. </w:t>
      </w:r>
      <w:r>
        <w:rPr>
          <w:rFonts w:hint="eastAsia" w:ascii="仿宋_GB2312" w:hAnsi="宋体" w:eastAsia="仿宋_GB2312" w:cs="Arial"/>
          <w:sz w:val="28"/>
          <w:szCs w:val="28"/>
        </w:rPr>
        <w:t>本项目共分为</w:t>
      </w:r>
      <w:r>
        <w:rPr>
          <w:rFonts w:hint="eastAsia" w:ascii="仿宋_GB2312" w:hAnsi="宋体" w:eastAsia="仿宋_GB2312" w:cs="Arial"/>
          <w:sz w:val="28"/>
          <w:szCs w:val="28"/>
          <w:lang w:val="en-US" w:eastAsia="zh-CN"/>
        </w:rPr>
        <w:t>1</w:t>
      </w:r>
      <w:r>
        <w:rPr>
          <w:rFonts w:hint="eastAsia" w:ascii="仿宋_GB2312" w:hAnsi="宋体" w:eastAsia="仿宋_GB2312" w:cs="Arial"/>
          <w:sz w:val="28"/>
          <w:szCs w:val="28"/>
        </w:rPr>
        <w:t>个合同包进行招标，投标人可对其中一个或多个合同包进行投标。投标人中标后不得转包、分包。</w:t>
      </w:r>
    </w:p>
    <w:p w14:paraId="3CCCB5E1">
      <w:pPr>
        <w:tabs>
          <w:tab w:val="left" w:pos="0"/>
        </w:tabs>
        <w:adjustRightInd w:val="0"/>
        <w:spacing w:line="560" w:lineRule="exact"/>
        <w:ind w:firstLine="560" w:firstLineChars="200"/>
        <w:rPr>
          <w:rFonts w:hint="eastAsia" w:ascii="仿宋_GB2312" w:hAnsi="宋体" w:eastAsia="仿宋_GB2312" w:cs="Arial"/>
          <w:sz w:val="28"/>
          <w:szCs w:val="28"/>
        </w:rPr>
      </w:pPr>
      <w:r>
        <w:rPr>
          <w:rFonts w:hint="eastAsia" w:ascii="仿宋_GB2312" w:hAnsi="宋体" w:eastAsia="仿宋_GB2312" w:cs="Arial"/>
          <w:sz w:val="28"/>
          <w:szCs w:val="28"/>
        </w:rPr>
        <w:t>2</w:t>
      </w:r>
      <w:r>
        <w:rPr>
          <w:rFonts w:hint="eastAsia" w:ascii="仿宋_GB2312" w:hAnsi="宋体" w:eastAsia="仿宋_GB2312" w:cs="Arial"/>
          <w:sz w:val="28"/>
          <w:szCs w:val="28"/>
          <w:lang w:val="en-US" w:eastAsia="zh-CN"/>
        </w:rPr>
        <w:t xml:space="preserve">. </w:t>
      </w:r>
      <w:r>
        <w:rPr>
          <w:rFonts w:hint="eastAsia" w:ascii="仿宋_GB2312" w:hAnsi="宋体" w:eastAsia="仿宋_GB2312" w:cs="Arial"/>
          <w:sz w:val="28"/>
          <w:szCs w:val="28"/>
        </w:rPr>
        <w:t>投标人必须提供所投产品的全套配置清单，并详细列出投标产品品牌、规格、产地、质量等级、生产厂家、保质期等。</w:t>
      </w:r>
    </w:p>
    <w:p w14:paraId="19D6ABBD">
      <w:pPr>
        <w:tabs>
          <w:tab w:val="left" w:pos="0"/>
        </w:tabs>
        <w:adjustRightInd w:val="0"/>
        <w:spacing w:line="560" w:lineRule="exact"/>
        <w:ind w:firstLine="560" w:firstLineChars="200"/>
        <w:rPr>
          <w:rFonts w:hint="eastAsia" w:ascii="仿宋_GB2312" w:hAnsi="宋体" w:eastAsia="仿宋_GB2312" w:cs="Arial"/>
          <w:sz w:val="28"/>
          <w:szCs w:val="28"/>
        </w:rPr>
      </w:pPr>
      <w:r>
        <w:rPr>
          <w:rFonts w:hint="eastAsia" w:ascii="仿宋_GB2312" w:hAnsi="宋体" w:eastAsia="仿宋_GB2312" w:cs="Arial"/>
          <w:sz w:val="28"/>
          <w:szCs w:val="28"/>
        </w:rPr>
        <w:t>3</w:t>
      </w:r>
      <w:r>
        <w:rPr>
          <w:rFonts w:hint="eastAsia" w:ascii="仿宋_GB2312" w:hAnsi="宋体" w:eastAsia="仿宋_GB2312" w:cs="Arial"/>
          <w:sz w:val="28"/>
          <w:szCs w:val="28"/>
          <w:lang w:val="en-US" w:eastAsia="zh-CN"/>
        </w:rPr>
        <w:t xml:space="preserve">. </w:t>
      </w:r>
      <w:r>
        <w:rPr>
          <w:rFonts w:hint="eastAsia" w:ascii="仿宋_GB2312" w:hAnsi="宋体" w:eastAsia="仿宋_GB2312" w:cs="Arial"/>
          <w:sz w:val="28"/>
          <w:szCs w:val="28"/>
        </w:rPr>
        <w:t>投标人须提供投标产品的材料构成说明、工艺流程说明、性能说明、产品标准、主要质量参数等相关资料以及产品生产企业的法人营业执照、生产许可等资质证明资料。</w:t>
      </w:r>
    </w:p>
    <w:p w14:paraId="7A0AF628">
      <w:pPr>
        <w:tabs>
          <w:tab w:val="left" w:pos="0"/>
        </w:tabs>
        <w:adjustRightInd w:val="0"/>
        <w:spacing w:line="560" w:lineRule="exact"/>
        <w:ind w:firstLine="560" w:firstLineChars="200"/>
        <w:rPr>
          <w:rFonts w:hint="eastAsia" w:ascii="仿宋_GB2312" w:hAnsi="宋体" w:eastAsia="仿宋_GB2312" w:cs="Arial"/>
          <w:sz w:val="28"/>
          <w:szCs w:val="28"/>
        </w:rPr>
      </w:pPr>
      <w:r>
        <w:rPr>
          <w:rFonts w:hint="eastAsia" w:ascii="仿宋_GB2312" w:hAnsi="宋体" w:eastAsia="仿宋_GB2312" w:cs="Arial"/>
          <w:sz w:val="28"/>
          <w:szCs w:val="28"/>
        </w:rPr>
        <w:t>4</w:t>
      </w:r>
      <w:r>
        <w:rPr>
          <w:rFonts w:hint="eastAsia" w:ascii="仿宋_GB2312" w:hAnsi="宋体" w:eastAsia="仿宋_GB2312" w:cs="Arial"/>
          <w:sz w:val="28"/>
          <w:szCs w:val="28"/>
          <w:lang w:val="en-US" w:eastAsia="zh-CN"/>
        </w:rPr>
        <w:t xml:space="preserve">. </w:t>
      </w:r>
      <w:r>
        <w:rPr>
          <w:rFonts w:hint="eastAsia" w:ascii="仿宋_GB2312" w:hAnsi="宋体" w:eastAsia="仿宋_GB2312" w:cs="Arial"/>
          <w:sz w:val="28"/>
          <w:szCs w:val="28"/>
        </w:rPr>
        <w:t>投标人应根据招标要求提供符合要求的合格产品，不得降低招标产品的质量标准和档次，其质量等级、制造、技术标准必须符合国家行业规范和质量标准。</w:t>
      </w:r>
    </w:p>
    <w:p w14:paraId="2AE6A626">
      <w:pPr>
        <w:tabs>
          <w:tab w:val="left" w:pos="0"/>
        </w:tabs>
        <w:adjustRightInd w:val="0"/>
        <w:spacing w:line="560" w:lineRule="exact"/>
        <w:ind w:firstLine="560" w:firstLineChars="200"/>
        <w:rPr>
          <w:rFonts w:hint="eastAsia" w:ascii="仿宋_GB2312" w:hAnsi="宋体" w:eastAsia="仿宋_GB2312" w:cs="Arial"/>
          <w:sz w:val="28"/>
          <w:szCs w:val="28"/>
        </w:rPr>
      </w:pPr>
      <w:r>
        <w:rPr>
          <w:rFonts w:hint="eastAsia" w:ascii="仿宋_GB2312" w:hAnsi="宋体" w:eastAsia="仿宋_GB2312" w:cs="Arial"/>
          <w:sz w:val="28"/>
          <w:szCs w:val="28"/>
        </w:rPr>
        <w:t>5</w:t>
      </w:r>
      <w:r>
        <w:rPr>
          <w:rFonts w:hint="eastAsia" w:ascii="仿宋_GB2312" w:hAnsi="宋体" w:eastAsia="仿宋_GB2312" w:cs="Arial"/>
          <w:sz w:val="28"/>
          <w:szCs w:val="28"/>
          <w:lang w:val="en-US" w:eastAsia="zh-CN"/>
        </w:rPr>
        <w:t xml:space="preserve">. </w:t>
      </w:r>
      <w:r>
        <w:rPr>
          <w:rFonts w:hint="eastAsia" w:ascii="仿宋_GB2312" w:hAnsi="宋体" w:eastAsia="仿宋_GB2312" w:cs="Arial"/>
          <w:sz w:val="28"/>
          <w:szCs w:val="28"/>
        </w:rPr>
        <w:t>投标人应根据招标文件要求在投标文件中进行逐项响应。</w:t>
      </w:r>
    </w:p>
    <w:p w14:paraId="4C547AD8">
      <w:pPr>
        <w:tabs>
          <w:tab w:val="left" w:pos="0"/>
        </w:tabs>
        <w:adjustRightInd w:val="0"/>
        <w:spacing w:line="560" w:lineRule="exact"/>
        <w:ind w:firstLine="560" w:firstLineChars="200"/>
        <w:rPr>
          <w:rFonts w:hint="eastAsia" w:ascii="仿宋_GB2312" w:hAnsi="宋体" w:eastAsia="仿宋_GB2312" w:cs="Arial"/>
          <w:sz w:val="28"/>
          <w:szCs w:val="28"/>
        </w:rPr>
      </w:pPr>
      <w:r>
        <w:rPr>
          <w:rFonts w:hint="eastAsia" w:ascii="仿宋_GB2312" w:hAnsi="宋体" w:eastAsia="仿宋_GB2312" w:cs="Arial"/>
          <w:sz w:val="28"/>
          <w:szCs w:val="28"/>
        </w:rPr>
        <w:t>6</w:t>
      </w:r>
      <w:r>
        <w:rPr>
          <w:rFonts w:hint="eastAsia" w:ascii="仿宋_GB2312" w:hAnsi="宋体" w:eastAsia="仿宋_GB2312" w:cs="Arial"/>
          <w:sz w:val="28"/>
          <w:szCs w:val="28"/>
          <w:lang w:val="en-US" w:eastAsia="zh-CN"/>
        </w:rPr>
        <w:t xml:space="preserve">. </w:t>
      </w:r>
      <w:r>
        <w:rPr>
          <w:rFonts w:hint="eastAsia" w:ascii="仿宋_GB2312" w:hAnsi="宋体" w:eastAsia="仿宋_GB2312" w:cs="Arial"/>
          <w:sz w:val="28"/>
          <w:szCs w:val="28"/>
        </w:rPr>
        <w:t>投标人应明确投标响应情况和招标要求存在正负偏离情况。</w:t>
      </w:r>
    </w:p>
    <w:p w14:paraId="69B03A82">
      <w:pPr>
        <w:tabs>
          <w:tab w:val="left" w:pos="0"/>
        </w:tabs>
        <w:adjustRightInd w:val="0"/>
        <w:spacing w:line="560" w:lineRule="exact"/>
        <w:ind w:firstLine="560" w:firstLineChars="200"/>
        <w:rPr>
          <w:rFonts w:hint="eastAsia" w:ascii="仿宋_GB2312" w:hAnsi="宋体" w:eastAsia="仿宋_GB2312" w:cs="Arial"/>
          <w:sz w:val="28"/>
          <w:szCs w:val="28"/>
        </w:rPr>
      </w:pPr>
      <w:r>
        <w:rPr>
          <w:rFonts w:hint="eastAsia" w:ascii="仿宋_GB2312" w:hAnsi="宋体" w:eastAsia="仿宋_GB2312" w:cs="Arial"/>
          <w:sz w:val="28"/>
          <w:szCs w:val="28"/>
        </w:rPr>
        <w:t>7</w:t>
      </w:r>
      <w:r>
        <w:rPr>
          <w:rFonts w:hint="eastAsia" w:ascii="仿宋_GB2312" w:hAnsi="宋体" w:eastAsia="仿宋_GB2312" w:cs="Arial"/>
          <w:sz w:val="28"/>
          <w:szCs w:val="28"/>
          <w:lang w:val="en-US" w:eastAsia="zh-CN"/>
        </w:rPr>
        <w:t xml:space="preserve">. </w:t>
      </w:r>
      <w:r>
        <w:rPr>
          <w:rFonts w:hint="eastAsia" w:ascii="仿宋_GB2312" w:hAnsi="宋体" w:eastAsia="仿宋_GB2312" w:cs="Arial"/>
          <w:sz w:val="28"/>
          <w:szCs w:val="28"/>
        </w:rPr>
        <w:t>投标人必须具有完善的售后服务机构和售后服务体系，能提供本地化服务。</w:t>
      </w:r>
    </w:p>
    <w:p w14:paraId="0C133BCF">
      <w:pPr>
        <w:tabs>
          <w:tab w:val="left" w:pos="0"/>
        </w:tabs>
        <w:adjustRightInd w:val="0"/>
        <w:spacing w:line="560" w:lineRule="exact"/>
        <w:ind w:firstLine="562" w:firstLineChars="200"/>
        <w:rPr>
          <w:rFonts w:hint="eastAsia" w:ascii="黑体" w:hAnsi="黑体" w:eastAsia="黑体"/>
          <w:b/>
          <w:sz w:val="28"/>
          <w:szCs w:val="28"/>
        </w:rPr>
      </w:pPr>
      <w:r>
        <w:rPr>
          <w:rFonts w:hint="eastAsia" w:ascii="黑体" w:hAnsi="黑体" w:eastAsia="黑体"/>
          <w:b/>
          <w:sz w:val="28"/>
          <w:szCs w:val="28"/>
        </w:rPr>
        <w:t>三</w:t>
      </w:r>
      <w:r>
        <w:rPr>
          <w:rFonts w:ascii="黑体" w:hAnsi="黑体" w:eastAsia="黑体"/>
          <w:b/>
          <w:sz w:val="28"/>
          <w:szCs w:val="28"/>
        </w:rPr>
        <w:t xml:space="preserve">、商务条款 </w:t>
      </w:r>
    </w:p>
    <w:p w14:paraId="58EA26C6">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1.详见第三部分：主要合同条款。</w:t>
      </w:r>
    </w:p>
    <w:p w14:paraId="29DE6B13">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2.采购人必须提供企业经营状况、履约能力等基本情况的说明，以及投标人2022年至今（以合同签订时间为准）的类似货物供货业绩有效证明文件。     </w:t>
      </w:r>
    </w:p>
    <w:p w14:paraId="54BE7604">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3.供应商应具有良好的商业信誉和健全的财务会计制度，具有履行合同所必需的设备和专业技术能力，有依法缴纳税收和社会保障资金的良好记录。</w:t>
      </w:r>
    </w:p>
    <w:p w14:paraId="29C2678C">
      <w:pPr>
        <w:tabs>
          <w:tab w:val="left" w:pos="0"/>
        </w:tabs>
        <w:adjustRightInd w:val="0"/>
        <w:spacing w:line="560" w:lineRule="exact"/>
        <w:ind w:firstLine="562" w:firstLineChars="200"/>
        <w:rPr>
          <w:rFonts w:hint="eastAsia" w:ascii="黑体" w:hAnsi="黑体" w:eastAsia="黑体"/>
          <w:b/>
          <w:sz w:val="28"/>
          <w:szCs w:val="28"/>
        </w:rPr>
      </w:pPr>
      <w:r>
        <w:rPr>
          <w:rFonts w:hint="eastAsia" w:ascii="黑体" w:hAnsi="黑体" w:eastAsia="黑体"/>
          <w:b/>
          <w:sz w:val="28"/>
          <w:szCs w:val="28"/>
        </w:rPr>
        <w:t>四、交付要求</w:t>
      </w:r>
    </w:p>
    <w:p w14:paraId="220B3583">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1.交付时间：以采购人采购订单约定为准。</w:t>
      </w:r>
    </w:p>
    <w:p w14:paraId="2310994A">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2.交付地点：江西省南昌市南昌经济技术开发区南昌昌北机场南昌基地南区5栋，或采购人指定的其他地点。</w:t>
      </w:r>
    </w:p>
    <w:p w14:paraId="4ED57649">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交付准备：产品交付前，乙方应对产品质量、规格、性能、数量等进行全面的检验，并于验收时出具一份证明产品符合合同的检验证书包括并不限于《产品合格证明》、《质量检验报告》、《产品质量保证书》等证书及提供必要的手段协助甲方验收产品。</w:t>
      </w:r>
    </w:p>
    <w:p w14:paraId="6E27B684">
      <w:pPr>
        <w:tabs>
          <w:tab w:val="left" w:pos="0"/>
        </w:tabs>
        <w:adjustRightInd w:val="0"/>
        <w:spacing w:line="560" w:lineRule="exact"/>
        <w:ind w:firstLine="562" w:firstLineChars="200"/>
        <w:rPr>
          <w:rFonts w:hint="eastAsia" w:ascii="黑体" w:hAnsi="黑体" w:eastAsia="黑体"/>
          <w:b/>
          <w:sz w:val="28"/>
          <w:szCs w:val="28"/>
        </w:rPr>
      </w:pPr>
      <w:r>
        <w:rPr>
          <w:rFonts w:hint="eastAsia" w:ascii="黑体" w:hAnsi="黑体" w:eastAsia="黑体"/>
          <w:b/>
          <w:sz w:val="28"/>
          <w:szCs w:val="28"/>
        </w:rPr>
        <w:t xml:space="preserve">五、报价要求 </w:t>
      </w:r>
    </w:p>
    <w:p w14:paraId="07C69D60">
      <w:pPr>
        <w:pStyle w:val="2"/>
        <w:ind w:firstLine="560" w:firstLineChars="200"/>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1</w:t>
      </w:r>
      <w:r>
        <w:rPr>
          <w:rFonts w:hint="eastAsia" w:ascii="仿宋_GB2312" w:hAnsi="仿宋_GB2312" w:eastAsia="仿宋_GB2312" w:cs="仿宋_GB2312"/>
          <w:b w:val="0"/>
          <w:bCs/>
          <w:color w:val="auto"/>
          <w:sz w:val="28"/>
          <w:szCs w:val="28"/>
          <w:lang w:val="en-US" w:eastAsia="zh-CN"/>
        </w:rPr>
        <w:t xml:space="preserve">. </w:t>
      </w:r>
      <w:r>
        <w:rPr>
          <w:rFonts w:hint="eastAsia" w:ascii="仿宋_GB2312" w:hAnsi="仿宋_GB2312" w:eastAsia="仿宋_GB2312" w:cs="仿宋_GB2312"/>
          <w:b w:val="0"/>
          <w:bCs/>
          <w:color w:val="auto"/>
          <w:sz w:val="28"/>
          <w:szCs w:val="28"/>
        </w:rPr>
        <w:t>报价以人民币为货币单位，应分单价、小计和总价。</w:t>
      </w:r>
    </w:p>
    <w:p w14:paraId="4C3BD311">
      <w:pPr>
        <w:pStyle w:val="2"/>
        <w:ind w:firstLine="560" w:firstLineChars="200"/>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2</w:t>
      </w:r>
      <w:r>
        <w:rPr>
          <w:rFonts w:hint="eastAsia" w:ascii="仿宋_GB2312" w:hAnsi="仿宋_GB2312" w:eastAsia="仿宋_GB2312" w:cs="仿宋_GB2312"/>
          <w:b w:val="0"/>
          <w:bCs/>
          <w:color w:val="auto"/>
          <w:sz w:val="28"/>
          <w:szCs w:val="28"/>
          <w:lang w:val="en-US" w:eastAsia="zh-CN"/>
        </w:rPr>
        <w:t xml:space="preserve">. </w:t>
      </w:r>
      <w:r>
        <w:rPr>
          <w:rFonts w:hint="eastAsia" w:ascii="仿宋_GB2312" w:hAnsi="仿宋_GB2312" w:eastAsia="仿宋_GB2312" w:cs="仿宋_GB2312"/>
          <w:b w:val="0"/>
          <w:bCs/>
          <w:color w:val="auto"/>
          <w:sz w:val="28"/>
          <w:szCs w:val="28"/>
        </w:rPr>
        <w:t>本项目报价为包干价。报价应为货物送达招标人指定地点并经招标人验收合格交付完毕所有发生的费用，包括产品及包装物生产制造、包装、运输、装卸、采购保管、人工、配送、保险费、售后服务、资料图册提供及伴随服务等费用。所有报价均应已包含国家规定的所有税费。投标人应自行核算项目正常、合法运作及使用所可能发生的一切费用。</w:t>
      </w:r>
    </w:p>
    <w:p w14:paraId="68D5FB10">
      <w:pPr>
        <w:pStyle w:val="2"/>
        <w:ind w:firstLine="560" w:firstLineChars="200"/>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3</w:t>
      </w:r>
      <w:r>
        <w:rPr>
          <w:rFonts w:hint="eastAsia" w:ascii="仿宋_GB2312" w:hAnsi="仿宋_GB2312" w:eastAsia="仿宋_GB2312" w:cs="仿宋_GB2312"/>
          <w:b w:val="0"/>
          <w:bCs/>
          <w:color w:val="auto"/>
          <w:sz w:val="28"/>
          <w:szCs w:val="28"/>
          <w:lang w:val="en-US" w:eastAsia="zh-CN"/>
        </w:rPr>
        <w:t xml:space="preserve">. </w:t>
      </w:r>
      <w:r>
        <w:rPr>
          <w:rFonts w:hint="eastAsia" w:ascii="仿宋_GB2312" w:hAnsi="仿宋_GB2312" w:eastAsia="仿宋_GB2312" w:cs="仿宋_GB2312"/>
          <w:b w:val="0"/>
          <w:bCs/>
          <w:color w:val="auto"/>
          <w:sz w:val="28"/>
          <w:szCs w:val="28"/>
        </w:rPr>
        <w:t>投标人漏报、少报的费用，视为此项费用已隐含在投标报价中，中标后不得再向招标人收取任何费用。</w:t>
      </w:r>
    </w:p>
    <w:p w14:paraId="6D99DE9F">
      <w:pPr>
        <w:pStyle w:val="2"/>
        <w:ind w:firstLine="560" w:firstLineChars="200"/>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4</w:t>
      </w:r>
      <w:r>
        <w:rPr>
          <w:rFonts w:hint="eastAsia" w:ascii="仿宋_GB2312" w:hAnsi="仿宋_GB2312" w:eastAsia="仿宋_GB2312" w:cs="仿宋_GB2312"/>
          <w:b w:val="0"/>
          <w:bCs/>
          <w:color w:val="auto"/>
          <w:sz w:val="28"/>
          <w:szCs w:val="28"/>
          <w:lang w:val="en-US" w:eastAsia="zh-CN"/>
        </w:rPr>
        <w:t xml:space="preserve">. </w:t>
      </w:r>
      <w:r>
        <w:rPr>
          <w:rFonts w:hint="eastAsia" w:ascii="仿宋_GB2312" w:hAnsi="仿宋_GB2312" w:eastAsia="仿宋_GB2312" w:cs="仿宋_GB2312"/>
          <w:b w:val="0"/>
          <w:bCs/>
          <w:color w:val="auto"/>
          <w:sz w:val="28"/>
          <w:szCs w:val="28"/>
        </w:rPr>
        <w:t>投标人对本项目只能有一个报价，招标采购单位不接受有选择的报价。</w:t>
      </w:r>
    </w:p>
    <w:p w14:paraId="3994DDFE">
      <w:pPr>
        <w:pStyle w:val="2"/>
        <w:ind w:firstLine="560" w:firstLineChars="200"/>
      </w:pPr>
      <w:r>
        <w:rPr>
          <w:rFonts w:hint="eastAsia" w:ascii="仿宋_GB2312" w:hAnsi="仿宋_GB2312" w:eastAsia="仿宋_GB2312" w:cs="仿宋_GB2312"/>
          <w:b w:val="0"/>
          <w:bCs/>
          <w:color w:val="auto"/>
          <w:sz w:val="28"/>
          <w:szCs w:val="28"/>
        </w:rPr>
        <w:t>5</w:t>
      </w:r>
      <w:r>
        <w:rPr>
          <w:rFonts w:hint="eastAsia" w:ascii="仿宋_GB2312" w:hAnsi="仿宋_GB2312" w:eastAsia="仿宋_GB2312" w:cs="仿宋_GB2312"/>
          <w:b w:val="0"/>
          <w:bCs/>
          <w:color w:val="auto"/>
          <w:sz w:val="28"/>
          <w:szCs w:val="28"/>
          <w:lang w:val="en-US" w:eastAsia="zh-CN"/>
        </w:rPr>
        <w:t xml:space="preserve">. </w:t>
      </w:r>
      <w:r>
        <w:rPr>
          <w:rFonts w:hint="eastAsia" w:ascii="仿宋_GB2312" w:hAnsi="仿宋_GB2312" w:eastAsia="仿宋_GB2312" w:cs="仿宋_GB2312"/>
          <w:b w:val="0"/>
          <w:bCs/>
          <w:color w:val="auto"/>
          <w:sz w:val="28"/>
          <w:szCs w:val="28"/>
        </w:rPr>
        <w:t>《</w:t>
      </w:r>
      <w:r>
        <w:rPr>
          <w:rFonts w:hint="eastAsia" w:hAnsi="仿宋_GB2312" w:cs="仿宋_GB2312"/>
          <w:b w:val="0"/>
          <w:bCs/>
          <w:color w:val="auto"/>
          <w:sz w:val="28"/>
          <w:szCs w:val="28"/>
          <w:lang w:val="en-US" w:eastAsia="zh-CN"/>
        </w:rPr>
        <w:t>采购需求</w:t>
      </w:r>
      <w:r>
        <w:rPr>
          <w:rFonts w:hint="eastAsia" w:ascii="仿宋_GB2312" w:hAnsi="仿宋_GB2312" w:eastAsia="仿宋_GB2312" w:cs="仿宋_GB2312"/>
          <w:b w:val="0"/>
          <w:bCs/>
          <w:color w:val="auto"/>
          <w:sz w:val="28"/>
          <w:szCs w:val="28"/>
        </w:rPr>
        <w:t>》当中涉及的产品数量均为预估量，最终供货数量根据招标人实际下单数量，以本次招标中标单价据实结算。相关风险投标人应予以充分考虑。中标后，投标人不得因此拒绝签署或履行合同。</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7E3245"/>
    <w:rsid w:val="1F420A07"/>
    <w:rsid w:val="27D34622"/>
    <w:rsid w:val="48BA3162"/>
    <w:rsid w:val="4C7E3245"/>
    <w:rsid w:val="4EFF7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360" w:lineRule="auto"/>
    </w:pPr>
    <w:rPr>
      <w:rFonts w:ascii="仿宋_GB2312" w:eastAsia="仿宋_GB2312"/>
      <w:color w:val="FF0000"/>
      <w:sz w:val="24"/>
    </w:rPr>
  </w:style>
  <w:style w:type="paragraph" w:customStyle="1" w:styleId="5">
    <w:name w:val="表格文字"/>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2026-01-30T07:00:00Z</dcterms:created>
  <dc:creator>张骁驰</dc:creator>
  <cp:lastModifiedBy>张骁驰</cp:lastModifiedBy>
  <dcterms:modified xsi:type="dcterms:W3CDTF">2026-03-23T10:12:45Z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847505DEEF1E4AA9B41120230EC8ADC9_11</vt:lpwstr>
  </property>
</Properties>
</file>