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C1127">
      <w:pPr>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560" w:lineRule="exact"/>
        <w:textAlignment w:val="auto"/>
        <w:rPr>
          <w:rFonts w:hint="eastAsia" w:ascii="仿宋_GB2312" w:hAnsi="宋体" w:eastAsia="仿宋_GB2312"/>
          <w:b/>
          <w:sz w:val="32"/>
          <w:szCs w:val="32"/>
        </w:rPr>
      </w:pPr>
      <w:r>
        <w:rPr>
          <w:rFonts w:hint="eastAsia" w:ascii="仿宋_GB2312" w:hAnsi="宋体" w:eastAsia="仿宋_GB2312"/>
          <w:b/>
          <w:sz w:val="32"/>
          <w:szCs w:val="32"/>
        </w:rPr>
        <w:t>江西航空</w:t>
      </w:r>
      <w:r>
        <w:rPr>
          <w:rFonts w:hint="eastAsia" w:ascii="仿宋_GB2312" w:hAnsi="宋体" w:eastAsia="仿宋_GB2312"/>
          <w:b/>
          <w:sz w:val="32"/>
          <w:szCs w:val="32"/>
          <w:lang w:val="en-US" w:eastAsia="zh-CN"/>
        </w:rPr>
        <w:t>2026</w:t>
      </w:r>
      <w:r>
        <w:rPr>
          <w:rFonts w:hint="eastAsia" w:ascii="仿宋_GB2312" w:hAnsi="宋体" w:eastAsia="仿宋_GB2312"/>
          <w:b/>
          <w:sz w:val="32"/>
          <w:szCs w:val="32"/>
        </w:rPr>
        <w:t>数据中心负载均衡设备采购</w:t>
      </w:r>
    </w:p>
    <w:p w14:paraId="3FD60E2E">
      <w:pPr>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560" w:lineRule="exact"/>
        <w:textAlignment w:val="auto"/>
        <w:rPr>
          <w:rFonts w:hint="eastAsia"/>
          <w:b/>
          <w:bCs/>
          <w:sz w:val="28"/>
          <w:szCs w:val="32"/>
          <w:lang w:val="en-US" w:eastAsia="zh-CN"/>
        </w:rPr>
      </w:pPr>
      <w:r>
        <w:rPr>
          <w:rFonts w:hint="eastAsia"/>
          <w:b/>
          <w:bCs/>
          <w:sz w:val="28"/>
          <w:szCs w:val="32"/>
          <w:lang w:val="en-US" w:eastAsia="zh-CN"/>
        </w:rPr>
        <w:t>附件4：具体需求</w:t>
      </w:r>
    </w:p>
    <w:p w14:paraId="43866AFC">
      <w:pPr>
        <w:tabs>
          <w:tab w:val="left" w:pos="0"/>
        </w:tabs>
        <w:adjustRightInd w:val="0"/>
        <w:spacing w:line="560" w:lineRule="exact"/>
        <w:ind w:firstLine="562" w:firstLineChars="200"/>
        <w:rPr>
          <w:rFonts w:hint="eastAsia" w:ascii="黑体" w:hAnsi="黑体" w:eastAsia="黑体"/>
          <w:b/>
          <w:sz w:val="28"/>
          <w:szCs w:val="28"/>
        </w:rPr>
      </w:pPr>
      <w:r>
        <w:rPr>
          <w:rFonts w:hint="eastAsia" w:ascii="黑体" w:hAnsi="黑体" w:eastAsia="黑体"/>
          <w:b/>
          <w:sz w:val="28"/>
          <w:szCs w:val="28"/>
        </w:rPr>
        <w:t>一、采购需求</w:t>
      </w:r>
    </w:p>
    <w:p w14:paraId="3B063581">
      <w:pPr>
        <w:overflowPunct w:val="0"/>
        <w:topLinePunct/>
        <w:spacing w:after="120"/>
        <w:ind w:firstLine="64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随着公司自建系统数量持续攀升，对外发布的互联网应用及与外单位交互的业务也随之快速增长。为进一步提升流量智能分发、系统高可用性保障、会话保持、并发处理、性能加速优化及多链路负载等核心能力，建议采购一套负载均衡设备并部署于数据中心互联网出口区域，具体如下：</w:t>
      </w:r>
    </w:p>
    <w:p w14:paraId="253459C2">
      <w:pPr>
        <w:overflowPunct w:val="0"/>
        <w:topLinePunct/>
        <w:spacing w:after="120"/>
        <w:ind w:firstLine="640"/>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当前公司发布的互联网应用均通过互联网防火墙的NAT转换进行访问，该方式在架构上存在一定的局限性，具体表现为安全性较低、稳定性不足，且缺乏有效的高可用保障机制与智能流量调度能力。由于NAT转换通常依赖于单一设备或单一链路，易形成性能瓶颈和单点故障隐患，难以应对突发流量或链路故障场景，从而影响业务的连续性和用户体验。</w:t>
      </w:r>
    </w:p>
    <w:p w14:paraId="47CC3176">
      <w:pPr>
        <w:overflowPunct w:val="0"/>
        <w:topLinePunct/>
        <w:spacing w:after="120"/>
        <w:ind w:firstLine="640"/>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为进一步提升公司相关互联网业务的安全性与服务高可用性，同时有效满足多互联网出口链路的流量调度需求及链路择优与加速功能，建议部署专业的负载均衡设备。通过负载均衡设备可实现流量在各出口链路间的智能分配与冗余备份，支持健康状态检测与自动故障切换，并能够依据实时网络状态选择最优访问路径，从而显著增强业务的响应能力、服务可靠性和整体架构弹性。</w:t>
      </w:r>
    </w:p>
    <w:p w14:paraId="5F3F1A18">
      <w:pPr>
        <w:tabs>
          <w:tab w:val="left" w:pos="0"/>
        </w:tabs>
        <w:adjustRightInd w:val="0"/>
        <w:spacing w:line="560" w:lineRule="exact"/>
        <w:ind w:firstLine="562" w:firstLineChars="200"/>
        <w:rPr>
          <w:rFonts w:hint="eastAsia" w:ascii="黑体" w:hAnsi="黑体" w:eastAsia="黑体"/>
          <w:b/>
          <w:sz w:val="28"/>
          <w:szCs w:val="28"/>
        </w:rPr>
      </w:pPr>
      <w:r>
        <w:rPr>
          <w:rFonts w:hint="eastAsia" w:ascii="黑体" w:hAnsi="黑体" w:eastAsia="黑体"/>
          <w:b/>
          <w:sz w:val="28"/>
          <w:szCs w:val="28"/>
        </w:rPr>
        <w:t>二、技术要求</w:t>
      </w:r>
    </w:p>
    <w:p w14:paraId="087DA3AB">
      <w:pPr>
        <w:numPr>
          <w:ilvl w:val="0"/>
          <w:numId w:val="1"/>
        </w:numPr>
        <w:tabs>
          <w:tab w:val="left" w:pos="0"/>
        </w:tabs>
        <w:adjustRightInd w:val="0"/>
        <w:spacing w:line="560" w:lineRule="exact"/>
        <w:ind w:firstLine="560" w:firstLineChars="200"/>
        <w:rPr>
          <w:rFonts w:ascii="仿宋_GB2312" w:eastAsia="仿宋_GB2312"/>
          <w:sz w:val="28"/>
          <w:szCs w:val="28"/>
        </w:rPr>
      </w:pPr>
      <w:r>
        <w:rPr>
          <w:rFonts w:hint="eastAsia" w:ascii="仿宋_GB2312" w:eastAsia="仿宋_GB2312"/>
          <w:sz w:val="28"/>
          <w:szCs w:val="28"/>
        </w:rPr>
        <w:t>产品</w:t>
      </w:r>
      <w:r>
        <w:rPr>
          <w:rFonts w:ascii="仿宋_GB2312" w:eastAsia="仿宋_GB2312"/>
          <w:sz w:val="28"/>
          <w:szCs w:val="28"/>
        </w:rPr>
        <w:t>要求：</w:t>
      </w:r>
    </w:p>
    <w:p w14:paraId="7752DB6E">
      <w:pPr>
        <w:tabs>
          <w:tab w:val="left" w:pos="0"/>
        </w:tabs>
        <w:adjustRightInd w:val="0"/>
        <w:spacing w:line="560" w:lineRule="exact"/>
        <w:ind w:firstLine="560" w:firstLineChars="200"/>
        <w:rPr>
          <w:rFonts w:hint="eastAsia" w:ascii="仿宋_GB2312" w:eastAsia="仿宋_GB2312"/>
          <w:sz w:val="28"/>
          <w:szCs w:val="28"/>
        </w:rPr>
      </w:pPr>
      <w:r>
        <w:rPr>
          <w:rFonts w:ascii="Cambria Math" w:hAnsi="Cambria Math" w:eastAsia="仿宋_GB2312" w:cs="Cambria Math"/>
          <w:sz w:val="28"/>
          <w:szCs w:val="28"/>
        </w:rPr>
        <w:t>▶</w:t>
      </w:r>
      <w:r>
        <w:rPr>
          <w:rFonts w:hint="eastAsia" w:ascii="仿宋_GB2312" w:eastAsia="仿宋_GB2312"/>
          <w:sz w:val="28"/>
          <w:szCs w:val="28"/>
        </w:rPr>
        <w:t>网络性能：4层吞吐量 ≥35G，四层并发连接数≥20,000,000，4层新建连接数 CPS≥300K，7层新建请求数 RPS≥500K；</w:t>
      </w:r>
    </w:p>
    <w:p w14:paraId="4E1858D8">
      <w:pPr>
        <w:tabs>
          <w:tab w:val="left" w:pos="0"/>
        </w:tabs>
        <w:adjustRightInd w:val="0"/>
        <w:spacing w:line="560" w:lineRule="exact"/>
        <w:ind w:firstLine="560" w:firstLineChars="200"/>
        <w:rPr>
          <w:rFonts w:hint="eastAsia" w:ascii="仿宋_GB2312" w:eastAsia="仿宋_GB2312"/>
          <w:sz w:val="28"/>
          <w:szCs w:val="28"/>
        </w:rPr>
      </w:pPr>
      <w:r>
        <w:rPr>
          <w:rFonts w:ascii="Cambria Math" w:hAnsi="Cambria Math" w:eastAsia="仿宋_GB2312" w:cs="Cambria Math"/>
          <w:sz w:val="28"/>
          <w:szCs w:val="28"/>
        </w:rPr>
        <w:t>▶</w:t>
      </w:r>
      <w:r>
        <w:rPr>
          <w:rFonts w:hint="eastAsia" w:ascii="仿宋_GB2312" w:eastAsia="仿宋_GB2312"/>
          <w:sz w:val="28"/>
          <w:szCs w:val="28"/>
        </w:rPr>
        <w:t>硬件参数：规格≥2U，内存≥16G，硬盘容量≥480G SSD，电源≥冗余电源，千兆电口≥6个；万兆光口SFP+≥4个；</w:t>
      </w:r>
    </w:p>
    <w:p w14:paraId="7AF3427C">
      <w:pPr>
        <w:tabs>
          <w:tab w:val="left" w:pos="0"/>
        </w:tabs>
        <w:adjustRightInd w:val="0"/>
        <w:spacing w:line="560" w:lineRule="exact"/>
        <w:ind w:firstLine="560" w:firstLineChars="200"/>
        <w:rPr>
          <w:rFonts w:hint="eastAsia" w:ascii="仿宋_GB2312" w:eastAsia="仿宋_GB2312"/>
          <w:sz w:val="28"/>
          <w:szCs w:val="28"/>
        </w:rPr>
      </w:pPr>
      <w:r>
        <w:rPr>
          <w:rFonts w:ascii="Cambria Math" w:hAnsi="Cambria Math" w:eastAsia="仿宋_GB2312" w:cs="Cambria Math"/>
          <w:sz w:val="28"/>
          <w:szCs w:val="28"/>
        </w:rPr>
        <w:t>▶</w:t>
      </w:r>
      <w:r>
        <w:rPr>
          <w:rFonts w:hint="eastAsia" w:ascii="微软雅黑" w:hAnsi="微软雅黑" w:eastAsia="微软雅黑" w:cs="微软雅黑"/>
          <w:sz w:val="28"/>
          <w:szCs w:val="28"/>
        </w:rPr>
        <w:t>功能描述：提供服务器负载均衡、链路负载均衡以及全局负载均衡等功能。</w:t>
      </w:r>
    </w:p>
    <w:p w14:paraId="03739A45">
      <w:pPr>
        <w:tabs>
          <w:tab w:val="left" w:pos="0"/>
        </w:tabs>
        <w:adjustRightInd w:val="0"/>
        <w:spacing w:line="560" w:lineRule="exact"/>
        <w:ind w:firstLine="560" w:firstLineChars="200"/>
        <w:rPr>
          <w:rFonts w:hint="eastAsia" w:ascii="仿宋_GB2312" w:eastAsia="仿宋_GB2312"/>
          <w:sz w:val="28"/>
          <w:szCs w:val="28"/>
        </w:rPr>
      </w:pPr>
      <w:r>
        <w:rPr>
          <w:rFonts w:ascii="Cambria Math" w:hAnsi="Cambria Math" w:eastAsia="仿宋_GB2312" w:cs="Cambria Math"/>
          <w:sz w:val="28"/>
          <w:szCs w:val="28"/>
        </w:rPr>
        <w:t>▶</w:t>
      </w:r>
      <w:r>
        <w:rPr>
          <w:rFonts w:hint="eastAsia" w:ascii="仿宋_GB2312" w:eastAsia="仿宋_GB2312"/>
          <w:sz w:val="28"/>
          <w:szCs w:val="28"/>
        </w:rPr>
        <w:t>主备部署，满足国产自主可控要求</w:t>
      </w:r>
    </w:p>
    <w:p w14:paraId="1F2A1465">
      <w:pPr>
        <w:numPr>
          <w:ilvl w:val="0"/>
          <w:numId w:val="1"/>
        </w:num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基本功能</w:t>
      </w:r>
      <w:r>
        <w:rPr>
          <w:rFonts w:ascii="仿宋_GB2312" w:eastAsia="仿宋_GB2312"/>
          <w:sz w:val="28"/>
          <w:szCs w:val="28"/>
        </w:rPr>
        <w:t>：</w:t>
      </w:r>
    </w:p>
    <w:p w14:paraId="01FC7FA1">
      <w:pPr>
        <w:tabs>
          <w:tab w:val="left" w:pos="0"/>
        </w:tabs>
        <w:adjustRightInd w:val="0"/>
        <w:spacing w:line="560" w:lineRule="exact"/>
        <w:ind w:firstLine="560" w:firstLineChars="200"/>
        <w:rPr>
          <w:rFonts w:hint="eastAsia" w:ascii="仿宋_GB2312" w:eastAsia="仿宋_GB2312"/>
          <w:sz w:val="28"/>
          <w:szCs w:val="28"/>
        </w:rPr>
      </w:pPr>
      <w:r>
        <w:rPr>
          <w:rFonts w:ascii="Cambria Math" w:hAnsi="Cambria Math" w:eastAsia="仿宋_GB2312" w:cs="Cambria Math"/>
          <w:sz w:val="28"/>
          <w:szCs w:val="28"/>
        </w:rPr>
        <w:t>▶</w:t>
      </w:r>
      <w:r>
        <w:rPr>
          <w:rFonts w:hint="eastAsia" w:ascii="微软雅黑" w:hAnsi="微软雅黑" w:eastAsia="微软雅黑" w:cs="微软雅黑"/>
          <w:sz w:val="28"/>
          <w:szCs w:val="28"/>
        </w:rPr>
        <w:t>支持串接部署方式和旁路部署方式，支持三角传输模式</w:t>
      </w:r>
      <w:r>
        <w:rPr>
          <w:rFonts w:hint="eastAsia" w:ascii="仿宋_GB2312" w:eastAsia="仿宋_GB2312"/>
          <w:sz w:val="28"/>
          <w:szCs w:val="28"/>
        </w:rPr>
        <w:t>；</w:t>
      </w:r>
    </w:p>
    <w:p w14:paraId="4491A4AC">
      <w:pPr>
        <w:tabs>
          <w:tab w:val="left" w:pos="0"/>
        </w:tabs>
        <w:adjustRightInd w:val="0"/>
        <w:spacing w:line="560" w:lineRule="exact"/>
        <w:ind w:firstLine="560" w:firstLineChars="200"/>
        <w:rPr>
          <w:rFonts w:hint="eastAsia" w:ascii="仿宋_GB2312" w:eastAsia="仿宋_GB2312"/>
          <w:sz w:val="28"/>
          <w:szCs w:val="28"/>
        </w:rPr>
      </w:pPr>
      <w:r>
        <w:rPr>
          <w:rFonts w:ascii="Cambria Math" w:hAnsi="Cambria Math" w:eastAsia="仿宋_GB2312" w:cs="Cambria Math"/>
          <w:sz w:val="28"/>
          <w:szCs w:val="28"/>
        </w:rPr>
        <w:t>▶</w:t>
      </w:r>
      <w:r>
        <w:rPr>
          <w:rFonts w:hint="eastAsia" w:ascii="微软雅黑" w:hAnsi="微软雅黑" w:eastAsia="微软雅黑" w:cs="微软雅黑"/>
          <w:sz w:val="28"/>
          <w:szCs w:val="28"/>
        </w:rPr>
        <w:t>支持基于五元组条件（源</w:t>
      </w:r>
      <w:r>
        <w:rPr>
          <w:rFonts w:hint="eastAsia" w:ascii="仿宋_GB2312" w:eastAsia="仿宋_GB2312"/>
          <w:sz w:val="28"/>
          <w:szCs w:val="28"/>
        </w:rPr>
        <w:t>IP地址，源端口，目的IP地址，目的端口，传输层协议号）来进行出站访问的流量调度分发;</w:t>
      </w:r>
    </w:p>
    <w:p w14:paraId="41CAB1F7">
      <w:pPr>
        <w:tabs>
          <w:tab w:val="left" w:pos="0"/>
        </w:tabs>
        <w:adjustRightInd w:val="0"/>
        <w:spacing w:line="560" w:lineRule="exact"/>
        <w:ind w:firstLine="560" w:firstLineChars="200"/>
        <w:rPr>
          <w:rFonts w:hint="eastAsia" w:ascii="仿宋_GB2312" w:eastAsia="仿宋_GB2312"/>
          <w:sz w:val="28"/>
          <w:szCs w:val="28"/>
        </w:rPr>
      </w:pPr>
      <w:r>
        <w:rPr>
          <w:rFonts w:ascii="Cambria Math" w:hAnsi="Cambria Math" w:eastAsia="仿宋_GB2312" w:cs="Cambria Math"/>
          <w:sz w:val="28"/>
          <w:szCs w:val="28"/>
        </w:rPr>
        <w:t>▶</w:t>
      </w:r>
      <w:r>
        <w:rPr>
          <w:rFonts w:hint="eastAsia" w:ascii="微软雅黑" w:hAnsi="微软雅黑" w:eastAsia="微软雅黑" w:cs="微软雅黑"/>
          <w:sz w:val="28"/>
          <w:szCs w:val="28"/>
        </w:rPr>
        <w:t>支持多种链路检测方法，能够通过</w:t>
      </w:r>
      <w:r>
        <w:rPr>
          <w:rFonts w:hint="eastAsia" w:ascii="仿宋_GB2312" w:eastAsia="仿宋_GB2312"/>
          <w:sz w:val="28"/>
          <w:szCs w:val="28"/>
        </w:rPr>
        <w:t>PING和HTTP等方式监控链路的连通性，当某一条链路故障时，可将访问流量切换到其它链路，保障业务的持久通畅。</w:t>
      </w:r>
    </w:p>
    <w:p w14:paraId="19B570E0">
      <w:pPr>
        <w:numPr>
          <w:ilvl w:val="0"/>
          <w:numId w:val="1"/>
        </w:num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其他要求</w:t>
      </w:r>
      <w:r>
        <w:rPr>
          <w:rFonts w:ascii="仿宋_GB2312" w:eastAsia="仿宋_GB2312"/>
          <w:sz w:val="28"/>
          <w:szCs w:val="28"/>
        </w:rPr>
        <w:t>：</w:t>
      </w:r>
    </w:p>
    <w:p w14:paraId="6E84D502">
      <w:pPr>
        <w:tabs>
          <w:tab w:val="left" w:pos="0"/>
        </w:tabs>
        <w:adjustRightInd w:val="0"/>
        <w:spacing w:line="560" w:lineRule="exact"/>
        <w:ind w:firstLine="560" w:firstLineChars="200"/>
        <w:rPr>
          <w:rFonts w:hint="eastAsia" w:ascii="仿宋_GB2312" w:eastAsia="仿宋_GB2312"/>
          <w:sz w:val="28"/>
          <w:szCs w:val="28"/>
        </w:rPr>
      </w:pPr>
      <w:r>
        <w:rPr>
          <w:rFonts w:ascii="Cambria Math" w:hAnsi="Cambria Math" w:eastAsia="仿宋_GB2312" w:cs="Cambria Math"/>
          <w:sz w:val="28"/>
          <w:szCs w:val="28"/>
        </w:rPr>
        <w:t>▶</w:t>
      </w:r>
      <w:r>
        <w:rPr>
          <w:rFonts w:hint="eastAsia" w:ascii="微软雅黑" w:hAnsi="微软雅黑" w:eastAsia="微软雅黑" w:cs="微软雅黑"/>
          <w:sz w:val="28"/>
          <w:szCs w:val="28"/>
        </w:rPr>
        <w:t>支持基于应用协议的智能选路，内置网上银行、</w:t>
      </w:r>
      <w:r>
        <w:rPr>
          <w:rFonts w:hint="eastAsia" w:ascii="仿宋_GB2312" w:eastAsia="仿宋_GB2312"/>
          <w:sz w:val="28"/>
          <w:szCs w:val="28"/>
        </w:rPr>
        <w:t>Web流媒体、游戏、音频视频规则库；</w:t>
      </w:r>
    </w:p>
    <w:p w14:paraId="5C180F89">
      <w:pPr>
        <w:tabs>
          <w:tab w:val="left" w:pos="0"/>
        </w:tabs>
        <w:adjustRightInd w:val="0"/>
        <w:spacing w:line="560" w:lineRule="exact"/>
        <w:ind w:firstLine="560" w:firstLineChars="200"/>
        <w:rPr>
          <w:rFonts w:hint="eastAsia" w:ascii="仿宋_GB2312" w:eastAsia="仿宋_GB2312"/>
          <w:sz w:val="28"/>
          <w:szCs w:val="28"/>
        </w:rPr>
      </w:pPr>
      <w:r>
        <w:rPr>
          <w:rFonts w:ascii="Cambria Math" w:hAnsi="Cambria Math" w:eastAsia="仿宋_GB2312" w:cs="Cambria Math"/>
          <w:sz w:val="28"/>
          <w:szCs w:val="28"/>
        </w:rPr>
        <w:t>▶</w:t>
      </w:r>
      <w:r>
        <w:rPr>
          <w:rFonts w:hint="eastAsia" w:ascii="微软雅黑" w:hAnsi="微软雅黑" w:eastAsia="微软雅黑" w:cs="微软雅黑"/>
          <w:sz w:val="28"/>
          <w:szCs w:val="28"/>
        </w:rPr>
        <w:t>支持模拟健康监测功能，无需完成真实的业务配置即可提前采用</w:t>
      </w:r>
      <w:r>
        <w:rPr>
          <w:rFonts w:hint="eastAsia" w:ascii="仿宋_GB2312" w:eastAsia="仿宋_GB2312"/>
          <w:sz w:val="28"/>
          <w:szCs w:val="28"/>
        </w:rPr>
        <w:t>icmp、http、https、tcp、LDAP以及dns等的健康检查方式模拟检查业务的健康状态；</w:t>
      </w:r>
    </w:p>
    <w:p w14:paraId="22A05D2D">
      <w:pPr>
        <w:tabs>
          <w:tab w:val="left" w:pos="0"/>
        </w:tabs>
        <w:adjustRightInd w:val="0"/>
        <w:spacing w:line="560" w:lineRule="exact"/>
        <w:ind w:firstLine="560" w:firstLineChars="200"/>
        <w:rPr>
          <w:rFonts w:hint="eastAsia" w:ascii="仿宋_GB2312" w:eastAsia="仿宋_GB2312"/>
          <w:sz w:val="28"/>
          <w:szCs w:val="28"/>
        </w:rPr>
      </w:pPr>
      <w:r>
        <w:rPr>
          <w:rFonts w:ascii="Cambria Math" w:hAnsi="Cambria Math" w:eastAsia="仿宋_GB2312" w:cs="Cambria Math"/>
          <w:sz w:val="28"/>
          <w:szCs w:val="28"/>
        </w:rPr>
        <w:t>▶</w:t>
      </w:r>
      <w:r>
        <w:rPr>
          <w:rFonts w:hint="eastAsia" w:ascii="微软雅黑" w:hAnsi="微软雅黑" w:eastAsia="微软雅黑" w:cs="微软雅黑"/>
          <w:sz w:val="28"/>
          <w:szCs w:val="28"/>
        </w:rPr>
        <w:t>支持在</w:t>
      </w:r>
      <w:r>
        <w:rPr>
          <w:rFonts w:hint="eastAsia" w:ascii="仿宋_GB2312" w:eastAsia="仿宋_GB2312"/>
          <w:sz w:val="28"/>
          <w:szCs w:val="28"/>
        </w:rPr>
        <w:t>Web页面修改虚拟服务名称，支持在同一个虚拟服务下同时配置多个IPv4和IPv6地址以及多个不连续应用端口或者端口范围；</w:t>
      </w:r>
    </w:p>
    <w:p w14:paraId="383824D2">
      <w:pPr>
        <w:tabs>
          <w:tab w:val="left" w:pos="0"/>
        </w:tabs>
        <w:adjustRightInd w:val="0"/>
        <w:spacing w:line="560" w:lineRule="exact"/>
        <w:ind w:firstLine="560" w:firstLineChars="200"/>
        <w:rPr>
          <w:rFonts w:hint="eastAsia" w:ascii="仿宋_GB2312" w:eastAsia="仿宋_GB2312"/>
          <w:sz w:val="28"/>
          <w:szCs w:val="28"/>
        </w:rPr>
      </w:pPr>
      <w:r>
        <w:rPr>
          <w:rFonts w:ascii="Cambria Math" w:hAnsi="Cambria Math" w:eastAsia="仿宋_GB2312" w:cs="Cambria Math"/>
          <w:sz w:val="28"/>
          <w:szCs w:val="28"/>
        </w:rPr>
        <w:t>▶</w:t>
      </w:r>
      <w:r>
        <w:rPr>
          <w:rFonts w:hint="eastAsia" w:ascii="微软雅黑" w:hAnsi="微软雅黑" w:eastAsia="微软雅黑" w:cs="微软雅黑"/>
          <w:sz w:val="28"/>
          <w:szCs w:val="28"/>
        </w:rPr>
        <w:t>支持当节点繁忙时，在</w:t>
      </w:r>
      <w:r>
        <w:rPr>
          <w:rFonts w:hint="eastAsia" w:ascii="仿宋_GB2312" w:eastAsia="仿宋_GB2312"/>
          <w:sz w:val="28"/>
          <w:szCs w:val="28"/>
        </w:rPr>
        <w:t>Web页面实现连接排队强制调度以及调度失败的配置选择；</w:t>
      </w:r>
    </w:p>
    <w:p w14:paraId="3516247F">
      <w:pPr>
        <w:tabs>
          <w:tab w:val="left" w:pos="0"/>
        </w:tabs>
        <w:adjustRightInd w:val="0"/>
        <w:spacing w:line="560" w:lineRule="exact"/>
        <w:ind w:firstLine="560" w:firstLineChars="200"/>
        <w:rPr>
          <w:rFonts w:hint="eastAsia" w:ascii="仿宋_GB2312" w:eastAsia="仿宋_GB2312"/>
          <w:sz w:val="28"/>
          <w:szCs w:val="28"/>
        </w:rPr>
      </w:pPr>
      <w:r>
        <w:rPr>
          <w:rFonts w:ascii="Cambria Math" w:hAnsi="Cambria Math" w:eastAsia="仿宋_GB2312" w:cs="Cambria Math"/>
          <w:sz w:val="28"/>
          <w:szCs w:val="28"/>
        </w:rPr>
        <w:t>▶</w:t>
      </w:r>
      <w:r>
        <w:rPr>
          <w:rFonts w:hint="eastAsia" w:ascii="仿宋_GB2312" w:eastAsia="仿宋_GB2312"/>
          <w:sz w:val="28"/>
          <w:szCs w:val="28"/>
        </w:rPr>
        <w:t>支持HTTP2网关部署，在不改变web服务器的情况下将对外服务协议从HTTP1.1/1.0升级至HTTP/2，提升终端用户使用体验和业务安全性，支持设置HTTP2的每连接最大流数量；</w:t>
      </w:r>
    </w:p>
    <w:p w14:paraId="04D5A597">
      <w:pPr>
        <w:tabs>
          <w:tab w:val="left" w:pos="0"/>
        </w:tabs>
        <w:adjustRightInd w:val="0"/>
        <w:spacing w:line="560" w:lineRule="exact"/>
        <w:ind w:firstLine="560" w:firstLineChars="200"/>
        <w:rPr>
          <w:rFonts w:hint="eastAsia" w:ascii="仿宋_GB2312" w:eastAsia="仿宋_GB2312"/>
          <w:sz w:val="28"/>
          <w:szCs w:val="28"/>
        </w:rPr>
      </w:pPr>
      <w:r>
        <w:rPr>
          <w:rFonts w:ascii="Cambria Math" w:hAnsi="Cambria Math" w:eastAsia="仿宋_GB2312" w:cs="Cambria Math"/>
          <w:sz w:val="28"/>
          <w:szCs w:val="28"/>
        </w:rPr>
        <w:t>▶</w:t>
      </w:r>
      <w:r>
        <w:rPr>
          <w:rFonts w:hint="eastAsia" w:ascii="仿宋_GB2312" w:eastAsia="仿宋_GB2312"/>
          <w:sz w:val="28"/>
          <w:szCs w:val="28"/>
        </w:rPr>
        <w:t>支持发布HTTPDNS；</w:t>
      </w:r>
    </w:p>
    <w:p w14:paraId="24FD5C94">
      <w:pPr>
        <w:tabs>
          <w:tab w:val="left" w:pos="0"/>
        </w:tabs>
        <w:adjustRightInd w:val="0"/>
        <w:spacing w:line="560" w:lineRule="exact"/>
        <w:ind w:firstLine="560" w:firstLineChars="200"/>
        <w:rPr>
          <w:rFonts w:hint="eastAsia" w:ascii="仿宋_GB2312" w:eastAsia="仿宋_GB2312"/>
          <w:sz w:val="28"/>
          <w:szCs w:val="28"/>
        </w:rPr>
      </w:pPr>
      <w:r>
        <w:rPr>
          <w:rFonts w:ascii="Cambria Math" w:hAnsi="Cambria Math" w:eastAsia="仿宋_GB2312" w:cs="Cambria Math"/>
          <w:sz w:val="28"/>
          <w:szCs w:val="28"/>
        </w:rPr>
        <w:t>▶</w:t>
      </w:r>
      <w:r>
        <w:rPr>
          <w:rFonts w:hint="eastAsia" w:ascii="仿宋_GB2312" w:eastAsia="仿宋_GB2312"/>
          <w:sz w:val="28"/>
          <w:szCs w:val="28"/>
        </w:rPr>
        <w:t>支持DNSSEC，支持对区域进行dnssec进行签名，可以指定对区域进行签名的 zsk和 ksk的列表；支持指定 DS 记录的签名算法、指定NSEC3哈希算法及迭代次数；</w:t>
      </w:r>
    </w:p>
    <w:p w14:paraId="0D37B8CE">
      <w:pPr>
        <w:tabs>
          <w:tab w:val="left" w:pos="0"/>
        </w:tabs>
        <w:adjustRightInd w:val="0"/>
        <w:spacing w:line="560" w:lineRule="exact"/>
        <w:ind w:firstLine="560" w:firstLineChars="200"/>
        <w:rPr>
          <w:rFonts w:hint="eastAsia" w:ascii="仿宋_GB2312" w:eastAsia="仿宋_GB2312"/>
          <w:sz w:val="28"/>
          <w:szCs w:val="28"/>
        </w:rPr>
      </w:pPr>
      <w:r>
        <w:rPr>
          <w:rFonts w:ascii="Cambria Math" w:hAnsi="Cambria Math" w:eastAsia="仿宋_GB2312" w:cs="Cambria Math"/>
          <w:sz w:val="28"/>
          <w:szCs w:val="28"/>
        </w:rPr>
        <w:t>▶</w:t>
      </w:r>
      <w:r>
        <w:rPr>
          <w:rFonts w:hint="eastAsia" w:ascii="仿宋_GB2312" w:eastAsia="仿宋_GB2312"/>
          <w:sz w:val="28"/>
          <w:szCs w:val="28"/>
        </w:rPr>
        <w:t>支持DNS解析日志自定义格式并对外发送；</w:t>
      </w:r>
    </w:p>
    <w:p w14:paraId="00258C10">
      <w:pPr>
        <w:tabs>
          <w:tab w:val="left" w:pos="0"/>
        </w:tabs>
        <w:adjustRightInd w:val="0"/>
        <w:spacing w:line="560" w:lineRule="exact"/>
        <w:ind w:firstLine="560" w:firstLineChars="200"/>
        <w:rPr>
          <w:rFonts w:hint="eastAsia" w:ascii="仿宋_GB2312" w:eastAsia="仿宋_GB2312"/>
          <w:sz w:val="28"/>
          <w:szCs w:val="28"/>
        </w:rPr>
      </w:pPr>
      <w:r>
        <w:rPr>
          <w:rFonts w:ascii="Cambria Math" w:hAnsi="Cambria Math" w:eastAsia="仿宋_GB2312" w:cs="Cambria Math"/>
          <w:sz w:val="28"/>
          <w:szCs w:val="28"/>
        </w:rPr>
        <w:t>▶</w:t>
      </w:r>
      <w:r>
        <w:rPr>
          <w:rFonts w:hint="eastAsia" w:ascii="仿宋_GB2312" w:eastAsia="仿宋_GB2312"/>
          <w:sz w:val="28"/>
          <w:szCs w:val="28"/>
        </w:rPr>
        <w:t>支持根据ECS字段透传客户端IP以及实现智能解析；</w:t>
      </w:r>
    </w:p>
    <w:p w14:paraId="15C7EE09">
      <w:pPr>
        <w:tabs>
          <w:tab w:val="left" w:pos="0"/>
        </w:tabs>
        <w:adjustRightInd w:val="0"/>
        <w:spacing w:line="560" w:lineRule="exact"/>
        <w:ind w:firstLine="560" w:firstLineChars="200"/>
        <w:rPr>
          <w:rFonts w:hint="eastAsia" w:ascii="仿宋_GB2312" w:eastAsia="仿宋_GB2312"/>
          <w:sz w:val="28"/>
          <w:szCs w:val="28"/>
        </w:rPr>
      </w:pPr>
      <w:r>
        <w:rPr>
          <w:rFonts w:ascii="Cambria Math" w:hAnsi="Cambria Math" w:eastAsia="仿宋_GB2312" w:cs="Cambria Math"/>
          <w:sz w:val="28"/>
          <w:szCs w:val="28"/>
        </w:rPr>
        <w:t>▶</w:t>
      </w:r>
      <w:r>
        <w:rPr>
          <w:rFonts w:hint="eastAsia" w:ascii="仿宋_GB2312" w:eastAsia="仿宋_GB2312"/>
          <w:sz w:val="28"/>
          <w:szCs w:val="28"/>
        </w:rPr>
        <w:t>支持发布HTTPDNS，防止DNS劫持、DNS攻击等。</w:t>
      </w:r>
    </w:p>
    <w:p w14:paraId="556B06A0">
      <w:pPr>
        <w:pStyle w:val="5"/>
        <w:ind w:firstLine="560" w:firstLineChars="200"/>
        <w:rPr>
          <w:rFonts w:hint="eastAsia" w:ascii="仿宋_GB2312" w:eastAsia="仿宋_GB2312"/>
          <w:sz w:val="28"/>
          <w:szCs w:val="28"/>
        </w:rPr>
      </w:pPr>
      <w:r>
        <w:rPr>
          <w:rFonts w:hint="eastAsia" w:ascii="仿宋_GB2312" w:eastAsia="仿宋_GB2312"/>
          <w:sz w:val="28"/>
          <w:szCs w:val="28"/>
        </w:rPr>
        <w:t>注：1.</w:t>
      </w:r>
      <w:r>
        <w:rPr>
          <w:rFonts w:hint="eastAsia" w:ascii="仿宋_GB2312" w:eastAsia="仿宋_GB2312"/>
          <w:b/>
          <w:bCs/>
          <w:sz w:val="28"/>
          <w:szCs w:val="28"/>
        </w:rPr>
        <w:t>本项目采购控制价为</w:t>
      </w:r>
      <w:r>
        <w:rPr>
          <w:rFonts w:hint="eastAsia" w:ascii="仿宋_GB2312" w:eastAsia="仿宋_GB2312"/>
          <w:b/>
          <w:bCs/>
          <w:sz w:val="28"/>
          <w:szCs w:val="28"/>
          <w:lang w:val="en-US" w:eastAsia="zh-CN"/>
        </w:rPr>
        <w:t>36</w:t>
      </w:r>
      <w:r>
        <w:rPr>
          <w:rFonts w:hint="eastAsia" w:ascii="仿宋_GB2312" w:eastAsia="仿宋_GB2312"/>
          <w:b/>
          <w:bCs/>
          <w:sz w:val="28"/>
          <w:szCs w:val="28"/>
        </w:rPr>
        <w:t>万元人民币</w:t>
      </w:r>
      <w:r>
        <w:rPr>
          <w:rFonts w:hint="eastAsia" w:ascii="仿宋_GB2312" w:eastAsia="仿宋_GB2312"/>
          <w:sz w:val="28"/>
          <w:szCs w:val="28"/>
        </w:rPr>
        <w:t>；</w:t>
      </w:r>
    </w:p>
    <w:p w14:paraId="4E4B0605">
      <w:pPr>
        <w:pStyle w:val="5"/>
        <w:ind w:firstLine="560" w:firstLineChars="200"/>
        <w:rPr>
          <w:rFonts w:hint="eastAsia" w:ascii="仿宋_GB2312" w:eastAsia="仿宋_GB2312"/>
          <w:sz w:val="28"/>
          <w:szCs w:val="28"/>
        </w:rPr>
      </w:pPr>
      <w:r>
        <w:rPr>
          <w:rFonts w:hint="eastAsia" w:ascii="仿宋_GB2312" w:eastAsia="仿宋_GB2312"/>
          <w:sz w:val="28"/>
          <w:szCs w:val="28"/>
        </w:rPr>
        <w:t>2.成交供应商不得转包和分包；</w:t>
      </w:r>
    </w:p>
    <w:p w14:paraId="519CEADB">
      <w:pPr>
        <w:pStyle w:val="5"/>
        <w:ind w:firstLine="560" w:firstLineChars="200"/>
        <w:rPr>
          <w:rFonts w:hint="eastAsia" w:ascii="仿宋_GB2312" w:eastAsia="仿宋_GB2312"/>
          <w:sz w:val="28"/>
          <w:szCs w:val="28"/>
        </w:rPr>
      </w:pPr>
      <w:r>
        <w:rPr>
          <w:rFonts w:hint="eastAsia" w:ascii="仿宋_GB2312" w:eastAsia="仿宋_GB2312"/>
          <w:sz w:val="28"/>
          <w:szCs w:val="28"/>
        </w:rPr>
        <w:t>3.要求供应商提供的其它伴随服务（或义务）。</w:t>
      </w:r>
    </w:p>
    <w:p w14:paraId="2900C8E5">
      <w:pPr>
        <w:tabs>
          <w:tab w:val="left" w:pos="0"/>
        </w:tabs>
        <w:adjustRightInd w:val="0"/>
        <w:spacing w:line="560" w:lineRule="exact"/>
        <w:ind w:firstLine="562" w:firstLineChars="200"/>
        <w:rPr>
          <w:rFonts w:hint="eastAsia" w:ascii="仿宋_GB2312" w:eastAsia="黑体"/>
          <w:sz w:val="28"/>
          <w:szCs w:val="28"/>
        </w:rPr>
      </w:pPr>
      <w:r>
        <w:rPr>
          <w:rFonts w:hint="eastAsia" w:ascii="黑体" w:hAnsi="黑体" w:eastAsia="黑体"/>
          <w:b/>
          <w:sz w:val="28"/>
          <w:szCs w:val="28"/>
        </w:rPr>
        <w:t>二</w:t>
      </w:r>
      <w:r>
        <w:rPr>
          <w:rFonts w:ascii="黑体" w:hAnsi="黑体" w:eastAsia="黑体"/>
          <w:b/>
          <w:sz w:val="28"/>
          <w:szCs w:val="28"/>
        </w:rPr>
        <w:t>、</w:t>
      </w:r>
      <w:r>
        <w:rPr>
          <w:rFonts w:hint="eastAsia" w:ascii="黑体" w:hAnsi="黑体" w:eastAsia="黑体"/>
          <w:b/>
          <w:sz w:val="28"/>
          <w:szCs w:val="28"/>
        </w:rPr>
        <w:t>投标要求</w:t>
      </w:r>
    </w:p>
    <w:p w14:paraId="438F4D29">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1. 本项目共分为1个合同包进行招标。投标人中标后不得转包、分包。</w:t>
      </w:r>
    </w:p>
    <w:p w14:paraId="30B6804F">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2. 投标人必须提供所投产品的全套配置清单，并详细列出投标产品品牌、规格、产地、质量等级、生产厂家、保质期等。</w:t>
      </w:r>
    </w:p>
    <w:p w14:paraId="5B52026D">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3. 投标人须提供投标产品的材料构成说明、工艺流程说明、性能说明、产品标准、主要质量参数等相关资料以及产品生产企业的法人营业执照、生产许可等资质证明资料。</w:t>
      </w:r>
    </w:p>
    <w:p w14:paraId="36A16A2D">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4. 投标人应根据招标要求提供符合要求的合格产品，不得降低招标产品的质量标准和档次，其质量等级、制造、技术标准必须符合国家行业规范和质量标准。</w:t>
      </w:r>
    </w:p>
    <w:p w14:paraId="7FBEA2AB">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5. 投标人应根据招标文件要求在投标文件中进行逐项响应。</w:t>
      </w:r>
    </w:p>
    <w:p w14:paraId="19B78254">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6. 投标人应明确投标响应情况和招标要求存在正负偏离情况。</w:t>
      </w:r>
    </w:p>
    <w:p w14:paraId="5E4B59EB">
      <w:pPr>
        <w:tabs>
          <w:tab w:val="left" w:pos="0"/>
        </w:tabs>
        <w:adjustRightInd w:val="0"/>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7. 投标人必须具有完善的售后服务机构和售后服务体系，能提供本地化服务。</w:t>
      </w:r>
    </w:p>
    <w:p w14:paraId="108A250E">
      <w:pPr>
        <w:tabs>
          <w:tab w:val="left" w:pos="0"/>
        </w:tabs>
        <w:adjustRightInd w:val="0"/>
        <w:spacing w:line="560" w:lineRule="exact"/>
        <w:ind w:firstLine="562" w:firstLineChars="200"/>
        <w:rPr>
          <w:rFonts w:hint="eastAsia" w:ascii="黑体" w:hAnsi="黑体" w:eastAsia="黑体"/>
          <w:b/>
          <w:sz w:val="28"/>
          <w:szCs w:val="28"/>
        </w:rPr>
      </w:pPr>
      <w:r>
        <w:rPr>
          <w:rFonts w:hint="eastAsia" w:ascii="黑体" w:hAnsi="黑体" w:eastAsia="黑体"/>
          <w:b/>
          <w:sz w:val="28"/>
          <w:szCs w:val="28"/>
        </w:rPr>
        <w:t>三</w:t>
      </w:r>
      <w:r>
        <w:rPr>
          <w:rFonts w:ascii="黑体" w:hAnsi="黑体" w:eastAsia="黑体"/>
          <w:b/>
          <w:sz w:val="28"/>
          <w:szCs w:val="28"/>
        </w:rPr>
        <w:t xml:space="preserve">、商务条款 </w:t>
      </w:r>
    </w:p>
    <w:p w14:paraId="42952FB0">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1.详见第三部分：主要合同条款。</w:t>
      </w:r>
    </w:p>
    <w:p w14:paraId="0849BC8F">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2.采购人必须提供企业经营状况、履约能力等基本情况的说明，以及投标人2022年</w:t>
      </w:r>
      <w:r>
        <w:rPr>
          <w:rFonts w:hint="eastAsia" w:ascii="仿宋_GB2312" w:hAnsi="仿宋_GB2312" w:eastAsia="仿宋_GB2312" w:cs="仿宋_GB2312"/>
          <w:sz w:val="28"/>
          <w:szCs w:val="28"/>
          <w:lang w:val="en-US" w:eastAsia="zh-CN"/>
        </w:rPr>
        <w:t>1月1日</w:t>
      </w:r>
      <w:r>
        <w:rPr>
          <w:rFonts w:hint="eastAsia" w:ascii="仿宋_GB2312" w:hAnsi="仿宋_GB2312" w:eastAsia="仿宋_GB2312" w:cs="仿宋_GB2312"/>
          <w:sz w:val="28"/>
          <w:szCs w:val="28"/>
        </w:rPr>
        <w:t xml:space="preserve">至今（以合同签订时间为准）的类似货物供货业绩有效证明文件。     </w:t>
      </w:r>
    </w:p>
    <w:p w14:paraId="374D217A">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3.供应商应具有良好的商业信誉和健全的财务会计制度，具有履行合同所必需的设备和专业技术能力，有依法缴纳税收和社会保障资金的良好记录。</w:t>
      </w:r>
    </w:p>
    <w:p w14:paraId="51CE349F">
      <w:pPr>
        <w:tabs>
          <w:tab w:val="left" w:pos="0"/>
        </w:tabs>
        <w:adjustRightInd w:val="0"/>
        <w:spacing w:line="560" w:lineRule="exact"/>
        <w:ind w:firstLine="562" w:firstLineChars="200"/>
        <w:rPr>
          <w:rFonts w:hint="eastAsia" w:ascii="黑体" w:hAnsi="黑体" w:eastAsia="黑体"/>
          <w:b/>
          <w:sz w:val="28"/>
          <w:szCs w:val="28"/>
        </w:rPr>
      </w:pPr>
      <w:r>
        <w:rPr>
          <w:rFonts w:hint="eastAsia" w:ascii="黑体" w:hAnsi="黑体" w:eastAsia="黑体"/>
          <w:b/>
          <w:sz w:val="28"/>
          <w:szCs w:val="28"/>
        </w:rPr>
        <w:t>四、交付要求</w:t>
      </w:r>
    </w:p>
    <w:p w14:paraId="1C080606">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1.交付时间：以采购人采购订单约定为准。</w:t>
      </w:r>
    </w:p>
    <w:p w14:paraId="0A56CF8F">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2.交付地点：江西省南昌市南昌经济技术开发区南昌昌北机场南昌基地南区5栋，或采购人指定的其他地点。</w:t>
      </w:r>
    </w:p>
    <w:p w14:paraId="3EB8EC7E">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交付准备：产品交付前，乙方应对产品质量、规格、性能、数量等进行全面的检验，并于验收时出具一份证明产品符合合同的检验证书包括并不限于《产品合格证明》、《质量检验报告》、《产品质量保证书》等证书及提供必要的手段协助甲方验收产品。</w:t>
      </w:r>
    </w:p>
    <w:p w14:paraId="18A5CAB0">
      <w:pPr>
        <w:tabs>
          <w:tab w:val="left" w:pos="0"/>
        </w:tabs>
        <w:adjustRightInd w:val="0"/>
        <w:spacing w:line="560" w:lineRule="exact"/>
        <w:ind w:firstLine="562" w:firstLineChars="200"/>
        <w:rPr>
          <w:rFonts w:hint="eastAsia" w:ascii="黑体" w:hAnsi="黑体" w:eastAsia="黑体"/>
          <w:b/>
          <w:sz w:val="28"/>
          <w:szCs w:val="28"/>
        </w:rPr>
      </w:pPr>
      <w:r>
        <w:rPr>
          <w:rFonts w:hint="eastAsia" w:ascii="黑体" w:hAnsi="黑体" w:eastAsia="黑体"/>
          <w:b/>
          <w:sz w:val="28"/>
          <w:szCs w:val="28"/>
        </w:rPr>
        <w:t xml:space="preserve">五、报价要求 </w:t>
      </w:r>
    </w:p>
    <w:p w14:paraId="6A93C627">
      <w:pPr>
        <w:pStyle w:val="2"/>
        <w:ind w:firstLine="560" w:firstLineChars="200"/>
        <w:rPr>
          <w:rFonts w:hint="eastAsia" w:hAnsi="仿宋_GB2312" w:cs="仿宋_GB2312"/>
          <w:bCs/>
          <w:color w:val="auto"/>
          <w:sz w:val="28"/>
          <w:szCs w:val="28"/>
        </w:rPr>
      </w:pPr>
      <w:r>
        <w:rPr>
          <w:rFonts w:hint="eastAsia" w:hAnsi="仿宋_GB2312" w:cs="仿宋_GB2312"/>
          <w:bCs/>
          <w:color w:val="auto"/>
          <w:sz w:val="28"/>
          <w:szCs w:val="28"/>
        </w:rPr>
        <w:t>1. 报价以人民币为货币单位，应分单价、小计和总价。</w:t>
      </w:r>
    </w:p>
    <w:p w14:paraId="20768770">
      <w:pPr>
        <w:pStyle w:val="2"/>
        <w:ind w:firstLine="560" w:firstLineChars="200"/>
        <w:rPr>
          <w:rFonts w:hint="eastAsia" w:hAnsi="仿宋_GB2312" w:cs="仿宋_GB2312"/>
          <w:bCs/>
          <w:color w:val="auto"/>
          <w:sz w:val="28"/>
          <w:szCs w:val="28"/>
        </w:rPr>
      </w:pPr>
      <w:r>
        <w:rPr>
          <w:rFonts w:hint="eastAsia" w:hAnsi="仿宋_GB2312" w:cs="仿宋_GB2312"/>
          <w:bCs/>
          <w:color w:val="auto"/>
          <w:sz w:val="28"/>
          <w:szCs w:val="28"/>
        </w:rPr>
        <w:t>2. 本项目报价为包干价。报价应为货物送达招标人指定地点并经招标人验收合格交付完毕所有发生的费用，包括产品及包装物生产制造、包装、运输、装卸、采购保管、人工、配送、保险费、售后服务、资料图册提供及伴随服务等费用。所有报价均应已包含国家规定的所有税费。投标人应自行核算项目正常、合法运作及使用所可能发生的一切费用。</w:t>
      </w:r>
    </w:p>
    <w:p w14:paraId="02D2AC94">
      <w:pPr>
        <w:pStyle w:val="2"/>
        <w:ind w:firstLine="560" w:firstLineChars="200"/>
        <w:rPr>
          <w:rFonts w:hint="eastAsia" w:hAnsi="仿宋_GB2312" w:cs="仿宋_GB2312"/>
          <w:bCs/>
          <w:color w:val="auto"/>
          <w:sz w:val="28"/>
          <w:szCs w:val="28"/>
        </w:rPr>
      </w:pPr>
      <w:r>
        <w:rPr>
          <w:rFonts w:hint="eastAsia" w:hAnsi="仿宋_GB2312" w:cs="仿宋_GB2312"/>
          <w:bCs/>
          <w:color w:val="auto"/>
          <w:sz w:val="28"/>
          <w:szCs w:val="28"/>
        </w:rPr>
        <w:t>3. 投标人漏报、少报的费用，视为此项费用已隐含在投标报价中，中标后不得再向招标人收取任何费用。</w:t>
      </w:r>
    </w:p>
    <w:p w14:paraId="3EA35B91">
      <w:pPr>
        <w:pStyle w:val="2"/>
        <w:ind w:firstLine="560" w:firstLineChars="200"/>
        <w:rPr>
          <w:rFonts w:hint="eastAsia" w:hAnsi="仿宋_GB2312" w:cs="仿宋_GB2312"/>
          <w:bCs/>
          <w:color w:val="auto"/>
          <w:sz w:val="28"/>
          <w:szCs w:val="28"/>
        </w:rPr>
      </w:pPr>
      <w:r>
        <w:rPr>
          <w:rFonts w:hint="eastAsia" w:hAnsi="仿宋_GB2312" w:cs="仿宋_GB2312"/>
          <w:bCs/>
          <w:color w:val="auto"/>
          <w:sz w:val="28"/>
          <w:szCs w:val="28"/>
        </w:rPr>
        <w:t>4. 投标人对本项目只能有一个报价，招标采购单位不接受有选择的报价。</w:t>
      </w:r>
    </w:p>
    <w:p w14:paraId="36B68964">
      <w:pPr>
        <w:pStyle w:val="2"/>
        <w:ind w:firstLine="560" w:firstLineChars="200"/>
        <w:rPr>
          <w:rFonts w:hint="eastAsia" w:hAnsi="仿宋_GB2312" w:cs="仿宋_GB2312"/>
          <w:bCs/>
          <w:color w:val="auto"/>
          <w:sz w:val="28"/>
          <w:szCs w:val="28"/>
        </w:rPr>
      </w:pPr>
      <w:r>
        <w:rPr>
          <w:rFonts w:hint="eastAsia" w:hAnsi="仿宋_GB2312" w:cs="仿宋_GB2312"/>
          <w:bCs/>
          <w:color w:val="auto"/>
          <w:sz w:val="28"/>
          <w:szCs w:val="28"/>
        </w:rPr>
        <w:t>5. 《采购需求》当中涉及的产品数量均为预估量，最终供货数量根据招标人实际下单数量，以本次招标中标单价据实结算。相关风险投标人应予以充分考虑。中标后，投标人不得因此拒绝签署或履行合同。</w:t>
      </w:r>
    </w:p>
    <w:p w14:paraId="3994DDFE">
      <w:pPr>
        <w:pStyle w:val="2"/>
        <w:ind w:firstLine="480" w:firstLineChars="200"/>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B3005A"/>
    <w:multiLevelType w:val="singleLevel"/>
    <w:tmpl w:val="7FB3005A"/>
    <w:lvl w:ilvl="0" w:tentative="0">
      <w:start w:val="1"/>
      <w:numFmt w:val="decimal"/>
      <w:suff w:val="nothing"/>
      <w:lvlText w:val="%1．"/>
      <w:lvlJc w:val="left"/>
      <w:pPr>
        <w:ind w:left="0" w:firstLine="6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7E3245"/>
    <w:rsid w:val="27D34622"/>
    <w:rsid w:val="39053D08"/>
    <w:rsid w:val="48BA3162"/>
    <w:rsid w:val="4C7E3245"/>
    <w:rsid w:val="4EFF7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line="360" w:lineRule="auto"/>
    </w:pPr>
    <w:rPr>
      <w:rFonts w:ascii="仿宋_GB2312" w:eastAsia="仿宋_GB2312"/>
      <w:color w:val="FF0000"/>
      <w:sz w:val="24"/>
    </w:rPr>
  </w:style>
  <w:style w:type="paragraph" w:customStyle="1" w:styleId="5">
    <w:name w:val="表格文字"/>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2026-01-30T07:00:00Z</dcterms:created>
  <dc:creator>张骁驰</dc:creator>
  <cp:lastModifiedBy>张骁驰</cp:lastModifiedBy>
  <dcterms:modified xsi:type="dcterms:W3CDTF">2026-03-23T09:45:09Z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847505DEEF1E4AA9B41120230EC8ADC9_11</vt:lpwstr>
  </property>
</Properties>
</file>