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DDE36">
      <w:pPr>
        <w:jc w:val="center"/>
        <w:rPr>
          <w:color w:val="auto"/>
          <w:highlight w:val="none"/>
        </w:rPr>
      </w:pPr>
    </w:p>
    <w:p w14:paraId="0F3A883A">
      <w:pPr>
        <w:jc w:val="center"/>
        <w:rPr>
          <w:color w:val="auto"/>
          <w:highlight w:val="none"/>
        </w:rPr>
      </w:pPr>
    </w:p>
    <w:p w14:paraId="43B9622D">
      <w:pPr>
        <w:jc w:val="center"/>
        <w:rPr>
          <w:color w:val="auto"/>
          <w:highlight w:val="none"/>
        </w:rPr>
      </w:pPr>
    </w:p>
    <w:p w14:paraId="3E87E5D0">
      <w:pPr>
        <w:rPr>
          <w:rFonts w:ascii="仿宋_GB2312" w:eastAsia="仿宋_GB2312"/>
          <w:b/>
          <w:bCs/>
          <w:color w:val="auto"/>
          <w:sz w:val="28"/>
          <w:szCs w:val="28"/>
          <w:highlight w:val="none"/>
        </w:rPr>
      </w:pPr>
    </w:p>
    <w:p w14:paraId="36652C5E">
      <w:pPr>
        <w:jc w:val="center"/>
        <w:rPr>
          <w:rFonts w:eastAsia="隶书"/>
          <w:b/>
          <w:bCs/>
          <w:color w:val="auto"/>
          <w:sz w:val="48"/>
          <w:highlight w:val="none"/>
        </w:rPr>
      </w:pPr>
    </w:p>
    <w:p w14:paraId="5ECB78CE">
      <w:pPr>
        <w:jc w:val="center"/>
        <w:rPr>
          <w:rFonts w:eastAsia="隶书"/>
          <w:b/>
          <w:bCs/>
          <w:color w:val="auto"/>
          <w:sz w:val="48"/>
          <w:highlight w:val="none"/>
        </w:rPr>
      </w:pPr>
    </w:p>
    <w:p w14:paraId="4A0B6514">
      <w:pPr>
        <w:jc w:val="center"/>
        <w:rPr>
          <w:rFonts w:ascii="微软雅黑" w:hAnsi="微软雅黑" w:eastAsia="微软雅黑"/>
          <w:b/>
          <w:bCs/>
          <w:color w:val="auto"/>
          <w:sz w:val="84"/>
          <w:highlight w:val="none"/>
        </w:rPr>
      </w:pPr>
      <w:r>
        <w:rPr>
          <w:rFonts w:hint="eastAsia" w:ascii="微软雅黑" w:hAnsi="微软雅黑" w:eastAsia="微软雅黑"/>
          <w:b/>
          <w:color w:val="auto"/>
          <w:sz w:val="96"/>
          <w:szCs w:val="22"/>
          <w:highlight w:val="none"/>
          <w:lang w:eastAsia="zh-CN"/>
        </w:rPr>
        <w:t>谈判</w:t>
      </w:r>
      <w:r>
        <w:rPr>
          <w:rFonts w:hint="eastAsia" w:ascii="微软雅黑" w:hAnsi="微软雅黑" w:eastAsia="微软雅黑"/>
          <w:b/>
          <w:color w:val="auto"/>
          <w:sz w:val="96"/>
          <w:szCs w:val="22"/>
          <w:highlight w:val="none"/>
        </w:rPr>
        <w:t>文件</w:t>
      </w:r>
    </w:p>
    <w:p w14:paraId="0F1086C7">
      <w:pPr>
        <w:jc w:val="center"/>
        <w:rPr>
          <w:rFonts w:eastAsia="隶书"/>
          <w:b/>
          <w:bCs/>
          <w:color w:val="auto"/>
          <w:sz w:val="48"/>
          <w:highlight w:val="none"/>
        </w:rPr>
      </w:pPr>
    </w:p>
    <w:p w14:paraId="006F593C">
      <w:pPr>
        <w:jc w:val="center"/>
        <w:rPr>
          <w:rFonts w:eastAsia="隶书"/>
          <w:b/>
          <w:bCs/>
          <w:color w:val="auto"/>
          <w:sz w:val="44"/>
          <w:highlight w:val="none"/>
        </w:rPr>
      </w:pPr>
    </w:p>
    <w:tbl>
      <w:tblPr>
        <w:tblStyle w:val="37"/>
        <w:tblW w:w="0" w:type="auto"/>
        <w:jc w:val="center"/>
        <w:tblLayout w:type="fixed"/>
        <w:tblCellMar>
          <w:top w:w="0" w:type="dxa"/>
          <w:left w:w="108" w:type="dxa"/>
          <w:bottom w:w="0" w:type="dxa"/>
          <w:right w:w="108" w:type="dxa"/>
        </w:tblCellMar>
      </w:tblPr>
      <w:tblGrid>
        <w:gridCol w:w="1897"/>
        <w:gridCol w:w="6041"/>
      </w:tblGrid>
      <w:tr w14:paraId="2A1A9C51">
        <w:tblPrEx>
          <w:tblCellMar>
            <w:top w:w="0" w:type="dxa"/>
            <w:left w:w="108" w:type="dxa"/>
            <w:bottom w:w="0" w:type="dxa"/>
            <w:right w:w="108" w:type="dxa"/>
          </w:tblCellMar>
        </w:tblPrEx>
        <w:trPr>
          <w:trHeight w:val="680" w:hRule="atLeast"/>
          <w:jc w:val="center"/>
        </w:trPr>
        <w:tc>
          <w:tcPr>
            <w:tcW w:w="1897" w:type="dxa"/>
            <w:noWrap w:val="0"/>
            <w:vAlign w:val="bottom"/>
          </w:tcPr>
          <w:p w14:paraId="517DD5E2">
            <w:pPr>
              <w:keepNext w:val="0"/>
              <w:keepLines w:val="0"/>
              <w:suppressLineNumbers w:val="0"/>
              <w:spacing w:before="0" w:beforeAutospacing="0" w:after="0" w:afterAutospacing="0"/>
              <w:ind w:left="0" w:right="0"/>
              <w:jc w:val="right"/>
              <w:rPr>
                <w:rFonts w:hint="default" w:ascii="黑体" w:hAnsi="楷体" w:eastAsia="黑体"/>
                <w:b/>
                <w:color w:val="auto"/>
                <w:sz w:val="30"/>
                <w:szCs w:val="30"/>
                <w:highlight w:val="none"/>
              </w:rPr>
            </w:pPr>
            <w:r>
              <w:rPr>
                <w:rFonts w:hint="eastAsia" w:ascii="黑体" w:hAnsi="楷体" w:eastAsia="黑体"/>
                <w:b/>
                <w:color w:val="auto"/>
                <w:sz w:val="30"/>
                <w:szCs w:val="30"/>
                <w:highlight w:val="none"/>
                <w:lang w:val="en-US" w:eastAsia="zh-CN"/>
              </w:rPr>
              <w:t>项目</w:t>
            </w:r>
            <w:r>
              <w:rPr>
                <w:rFonts w:hint="eastAsia" w:ascii="黑体" w:hAnsi="楷体" w:eastAsia="黑体"/>
                <w:b/>
                <w:color w:val="auto"/>
                <w:sz w:val="30"/>
                <w:szCs w:val="30"/>
                <w:highlight w:val="none"/>
              </w:rPr>
              <w:t>编号：</w:t>
            </w:r>
          </w:p>
        </w:tc>
        <w:tc>
          <w:tcPr>
            <w:tcW w:w="6041" w:type="dxa"/>
            <w:tcBorders>
              <w:bottom w:val="single" w:color="auto" w:sz="4" w:space="0"/>
            </w:tcBorders>
            <w:noWrap w:val="0"/>
            <w:vAlign w:val="bottom"/>
          </w:tcPr>
          <w:p w14:paraId="5D2DB145">
            <w:pPr>
              <w:keepNext w:val="0"/>
              <w:keepLines w:val="0"/>
              <w:suppressLineNumbers w:val="0"/>
              <w:spacing w:before="0" w:beforeAutospacing="0" w:after="0" w:afterAutospacing="0"/>
              <w:ind w:left="0" w:right="0"/>
              <w:jc w:val="center"/>
              <w:rPr>
                <w:rFonts w:hint="default" w:ascii="宋体" w:hAnsi="宋体" w:eastAsia="宋体" w:cs="宋体"/>
                <w:b w:val="0"/>
                <w:color w:val="auto"/>
                <w:sz w:val="30"/>
                <w:szCs w:val="30"/>
                <w:highlight w:val="none"/>
                <w:lang w:eastAsia="zh-CN"/>
              </w:rPr>
            </w:pPr>
            <w:r>
              <w:rPr>
                <w:rFonts w:hint="eastAsia" w:ascii="宋体" w:hAnsi="宋体" w:eastAsia="宋体" w:cs="宋体"/>
                <w:b w:val="0"/>
                <w:color w:val="auto"/>
                <w:sz w:val="30"/>
                <w:szCs w:val="30"/>
                <w:highlight w:val="none"/>
                <w:lang w:val="en-US" w:eastAsia="zh-CN"/>
              </w:rPr>
              <w:t>无</w:t>
            </w:r>
          </w:p>
        </w:tc>
      </w:tr>
      <w:tr w14:paraId="033E7ABC">
        <w:tblPrEx>
          <w:tblCellMar>
            <w:top w:w="0" w:type="dxa"/>
            <w:left w:w="108" w:type="dxa"/>
            <w:bottom w:w="0" w:type="dxa"/>
            <w:right w:w="108" w:type="dxa"/>
          </w:tblCellMar>
        </w:tblPrEx>
        <w:trPr>
          <w:trHeight w:val="680" w:hRule="atLeast"/>
          <w:jc w:val="center"/>
        </w:trPr>
        <w:tc>
          <w:tcPr>
            <w:tcW w:w="1897" w:type="dxa"/>
            <w:noWrap w:val="0"/>
            <w:vAlign w:val="bottom"/>
          </w:tcPr>
          <w:p w14:paraId="20CF4262">
            <w:pPr>
              <w:keepNext w:val="0"/>
              <w:keepLines w:val="0"/>
              <w:suppressLineNumbers w:val="0"/>
              <w:spacing w:before="0" w:beforeAutospacing="0" w:after="0" w:afterAutospacing="0"/>
              <w:ind w:left="0" w:right="0"/>
              <w:jc w:val="right"/>
              <w:rPr>
                <w:rFonts w:hint="default" w:ascii="黑体" w:hAnsi="楷体" w:eastAsia="黑体"/>
                <w:b/>
                <w:color w:val="auto"/>
                <w:sz w:val="30"/>
                <w:szCs w:val="30"/>
                <w:highlight w:val="none"/>
              </w:rPr>
            </w:pPr>
            <w:r>
              <w:rPr>
                <w:rFonts w:hint="eastAsia" w:ascii="黑体" w:hAnsi="楷体" w:eastAsia="黑体"/>
                <w:b/>
                <w:color w:val="auto"/>
                <w:sz w:val="30"/>
                <w:szCs w:val="30"/>
                <w:highlight w:val="none"/>
              </w:rPr>
              <w:t>项目名称：</w:t>
            </w:r>
          </w:p>
        </w:tc>
        <w:tc>
          <w:tcPr>
            <w:tcW w:w="6041" w:type="dxa"/>
            <w:tcBorders>
              <w:top w:val="single" w:color="auto" w:sz="4" w:space="0"/>
              <w:bottom w:val="single" w:color="auto" w:sz="4" w:space="0"/>
            </w:tcBorders>
            <w:noWrap w:val="0"/>
            <w:vAlign w:val="bottom"/>
          </w:tcPr>
          <w:p w14:paraId="659AEDD6">
            <w:pPr>
              <w:keepNext w:val="0"/>
              <w:keepLines w:val="0"/>
              <w:suppressLineNumbers w:val="0"/>
              <w:spacing w:before="0" w:beforeAutospacing="0" w:after="0" w:afterAutospacing="0"/>
              <w:ind w:left="0" w:right="0"/>
              <w:jc w:val="center"/>
              <w:rPr>
                <w:rFonts w:hint="default" w:ascii="宋体" w:hAnsi="宋体" w:eastAsia="宋体" w:cs="宋体"/>
                <w:b w:val="0"/>
                <w:color w:val="auto"/>
                <w:w w:val="100"/>
                <w:sz w:val="30"/>
                <w:szCs w:val="30"/>
                <w:highlight w:val="none"/>
                <w:lang w:eastAsia="zh-CN"/>
                <w:woUserID w:val="0"/>
              </w:rPr>
            </w:pPr>
            <w:r>
              <w:rPr>
                <w:rFonts w:hint="eastAsia" w:ascii="宋体" w:hAnsi="宋体" w:eastAsia="宋体" w:cs="宋体"/>
                <w:b w:val="0"/>
                <w:color w:val="auto"/>
                <w:w w:val="100"/>
                <w:sz w:val="30"/>
                <w:szCs w:val="30"/>
                <w:highlight w:val="none"/>
                <w:lang w:val="en-US" w:eastAsia="zh-CN"/>
              </w:rPr>
              <w:t>厦航大兴机场基地</w:t>
            </w:r>
            <w:r>
              <w:rPr>
                <w:rFonts w:hint="eastAsia" w:ascii="宋体" w:hAnsi="宋体" w:eastAsia="宋体" w:cs="宋体"/>
                <w:b w:val="0"/>
                <w:color w:val="auto"/>
                <w:w w:val="100"/>
                <w:sz w:val="30"/>
                <w:szCs w:val="30"/>
                <w:highlight w:val="none"/>
              </w:rPr>
              <w:t>202</w:t>
            </w:r>
            <w:r>
              <w:rPr>
                <w:rFonts w:hint="eastAsia" w:ascii="宋体" w:hAnsi="宋体" w:eastAsia="宋体" w:cs="宋体"/>
                <w:b w:val="0"/>
                <w:color w:val="auto"/>
                <w:w w:val="100"/>
                <w:sz w:val="30"/>
                <w:szCs w:val="30"/>
                <w:highlight w:val="none"/>
                <w:lang w:val="en-US" w:eastAsia="zh-CN"/>
              </w:rPr>
              <w:t>6</w:t>
            </w:r>
            <w:r>
              <w:rPr>
                <w:rFonts w:hint="eastAsia" w:ascii="宋体" w:hAnsi="宋体" w:eastAsia="宋体" w:cs="宋体"/>
                <w:b w:val="0"/>
                <w:color w:val="auto"/>
                <w:w w:val="100"/>
                <w:sz w:val="30"/>
                <w:szCs w:val="30"/>
                <w:highlight w:val="none"/>
              </w:rPr>
              <w:t>年普通车油料采购</w:t>
            </w:r>
          </w:p>
        </w:tc>
      </w:tr>
      <w:tr w14:paraId="4C58AB34">
        <w:tblPrEx>
          <w:tblCellMar>
            <w:top w:w="0" w:type="dxa"/>
            <w:left w:w="108" w:type="dxa"/>
            <w:bottom w:w="0" w:type="dxa"/>
            <w:right w:w="108" w:type="dxa"/>
          </w:tblCellMar>
        </w:tblPrEx>
        <w:trPr>
          <w:trHeight w:val="680" w:hRule="atLeast"/>
          <w:jc w:val="center"/>
        </w:trPr>
        <w:tc>
          <w:tcPr>
            <w:tcW w:w="1897" w:type="dxa"/>
            <w:noWrap w:val="0"/>
            <w:vAlign w:val="bottom"/>
          </w:tcPr>
          <w:p w14:paraId="6CBBE0CA">
            <w:pPr>
              <w:keepNext w:val="0"/>
              <w:keepLines w:val="0"/>
              <w:suppressLineNumbers w:val="0"/>
              <w:spacing w:before="0" w:beforeAutospacing="0" w:after="0" w:afterAutospacing="0"/>
              <w:ind w:left="0" w:right="0"/>
              <w:jc w:val="right"/>
              <w:rPr>
                <w:rFonts w:hint="default" w:ascii="黑体" w:hAnsi="楷体" w:eastAsia="黑体"/>
                <w:b/>
                <w:color w:val="auto"/>
                <w:sz w:val="30"/>
                <w:szCs w:val="30"/>
                <w:highlight w:val="none"/>
              </w:rPr>
            </w:pPr>
            <w:r>
              <w:rPr>
                <w:rFonts w:hint="eastAsia" w:ascii="黑体" w:hAnsi="楷体" w:eastAsia="黑体"/>
                <w:b/>
                <w:color w:val="auto"/>
                <w:sz w:val="30"/>
                <w:szCs w:val="30"/>
                <w:highlight w:val="none"/>
                <w:lang w:val="en-US" w:eastAsia="zh-CN"/>
              </w:rPr>
              <w:t>采 购 人</w:t>
            </w:r>
            <w:r>
              <w:rPr>
                <w:rFonts w:hint="eastAsia" w:ascii="黑体" w:hAnsi="楷体" w:eastAsia="黑体"/>
                <w:b/>
                <w:color w:val="auto"/>
                <w:sz w:val="30"/>
                <w:szCs w:val="30"/>
                <w:highlight w:val="none"/>
              </w:rPr>
              <w:t>：</w:t>
            </w:r>
          </w:p>
        </w:tc>
        <w:tc>
          <w:tcPr>
            <w:tcW w:w="6041" w:type="dxa"/>
            <w:tcBorders>
              <w:top w:val="single" w:color="auto" w:sz="4" w:space="0"/>
              <w:bottom w:val="single" w:color="auto" w:sz="4" w:space="0"/>
            </w:tcBorders>
            <w:noWrap w:val="0"/>
            <w:vAlign w:val="bottom"/>
          </w:tcPr>
          <w:p w14:paraId="450E7AA1">
            <w:pPr>
              <w:keepNext w:val="0"/>
              <w:keepLines w:val="0"/>
              <w:suppressLineNumbers w:val="0"/>
              <w:spacing w:before="0" w:beforeAutospacing="0" w:after="0" w:afterAutospacing="0"/>
              <w:ind w:left="0" w:right="0"/>
              <w:jc w:val="center"/>
              <w:rPr>
                <w:rFonts w:hint="default" w:ascii="宋体" w:hAnsi="宋体" w:eastAsia="宋体" w:cs="宋体"/>
                <w:b w:val="0"/>
                <w:color w:val="auto"/>
                <w:sz w:val="30"/>
                <w:szCs w:val="30"/>
                <w:highlight w:val="none"/>
                <w:lang w:eastAsia="zh-CN"/>
              </w:rPr>
            </w:pPr>
            <w:r>
              <w:rPr>
                <w:rFonts w:hint="eastAsia" w:ascii="宋体" w:hAnsi="宋体" w:eastAsia="宋体" w:cs="宋体"/>
                <w:b w:val="0"/>
                <w:bCs w:val="0"/>
                <w:color w:val="auto"/>
                <w:sz w:val="30"/>
                <w:szCs w:val="30"/>
                <w:highlight w:val="none"/>
              </w:rPr>
              <w:t>厦门航空有限公司</w:t>
            </w:r>
          </w:p>
        </w:tc>
      </w:tr>
    </w:tbl>
    <w:p w14:paraId="643EE8EE">
      <w:pPr>
        <w:pStyle w:val="46"/>
        <w:spacing w:line="480" w:lineRule="auto"/>
        <w:rPr>
          <w:color w:val="auto"/>
          <w:highlight w:val="none"/>
        </w:rPr>
      </w:pPr>
    </w:p>
    <w:p w14:paraId="042ACB7D">
      <w:pPr>
        <w:pStyle w:val="46"/>
        <w:rPr>
          <w:rFonts w:hint="eastAsia"/>
          <w:color w:val="auto"/>
          <w:highlight w:val="none"/>
          <w:lang w:val="en-US" w:eastAsia="zh-CN"/>
        </w:rPr>
      </w:pPr>
      <w:r>
        <w:rPr>
          <w:rFonts w:hint="eastAsia"/>
          <w:color w:val="auto"/>
          <w:highlight w:val="none"/>
          <w:lang w:val="en-US" w:eastAsia="zh-CN"/>
        </w:rPr>
        <w:t xml:space="preserve">         </w:t>
      </w:r>
    </w:p>
    <w:p w14:paraId="5D94E1E1">
      <w:pPr>
        <w:pStyle w:val="46"/>
        <w:rPr>
          <w:rFonts w:hint="default"/>
          <w:color w:val="auto"/>
          <w:highlight w:val="none"/>
          <w:lang w:val="en-US" w:eastAsia="zh-CN"/>
        </w:rPr>
      </w:pPr>
    </w:p>
    <w:p w14:paraId="5895817E">
      <w:pPr>
        <w:pStyle w:val="46"/>
        <w:rPr>
          <w:rFonts w:ascii="黑体" w:hAnsi="黑体" w:eastAsia="黑体"/>
          <w:b/>
          <w:color w:val="auto"/>
          <w:sz w:val="28"/>
          <w:szCs w:val="28"/>
          <w:highlight w:val="none"/>
        </w:rPr>
      </w:pPr>
    </w:p>
    <w:p w14:paraId="07CA2E93">
      <w:pPr>
        <w:pStyle w:val="46"/>
        <w:rPr>
          <w:rFonts w:ascii="黑体" w:hAnsi="黑体" w:eastAsia="黑体"/>
          <w:b/>
          <w:color w:val="auto"/>
          <w:sz w:val="28"/>
          <w:szCs w:val="28"/>
          <w:highlight w:val="none"/>
        </w:rPr>
      </w:pPr>
    </w:p>
    <w:p w14:paraId="4BCF7F27">
      <w:pPr>
        <w:jc w:val="center"/>
        <w:rPr>
          <w:color w:val="auto"/>
          <w:sz w:val="28"/>
          <w:szCs w:val="28"/>
          <w:highlight w:val="none"/>
        </w:rPr>
        <w:sectPr>
          <w:footerReference r:id="rId3" w:type="default"/>
          <w:footerReference r:id="rId4" w:type="even"/>
          <w:pgSz w:w="11906" w:h="16838"/>
          <w:pgMar w:top="1440" w:right="1418" w:bottom="1440" w:left="1440" w:header="851" w:footer="992" w:gutter="0"/>
          <w:cols w:space="720" w:num="1"/>
          <w:docGrid w:type="lines" w:linePitch="312" w:charSpace="0"/>
        </w:sectPr>
      </w:pPr>
      <w:r>
        <w:rPr>
          <w:rFonts w:hint="eastAsia" w:ascii="黑体" w:hAnsi="黑体" w:eastAsia="黑体"/>
          <w:b/>
          <w:color w:val="auto"/>
          <w:sz w:val="32"/>
          <w:szCs w:val="32"/>
          <w:highlight w:val="none"/>
        </w:rPr>
        <w:t>20</w:t>
      </w:r>
      <w:r>
        <w:rPr>
          <w:rFonts w:hint="eastAsia" w:ascii="黑体" w:hAnsi="黑体" w:eastAsia="黑体"/>
          <w:b/>
          <w:color w:val="auto"/>
          <w:sz w:val="32"/>
          <w:szCs w:val="32"/>
          <w:highlight w:val="none"/>
          <w:lang w:val="en-US" w:eastAsia="zh-CN"/>
        </w:rPr>
        <w:t>26</w:t>
      </w:r>
      <w:r>
        <w:rPr>
          <w:rFonts w:hint="eastAsia" w:ascii="黑体" w:hAnsi="黑体" w:eastAsia="黑体"/>
          <w:b/>
          <w:color w:val="auto"/>
          <w:sz w:val="32"/>
          <w:szCs w:val="32"/>
          <w:highlight w:val="none"/>
        </w:rPr>
        <w:t>年</w:t>
      </w:r>
      <w:r>
        <w:rPr>
          <w:rFonts w:hint="eastAsia" w:ascii="黑体" w:hAnsi="黑体" w:eastAsia="黑体"/>
          <w:b/>
          <w:color w:val="auto"/>
          <w:sz w:val="32"/>
          <w:szCs w:val="32"/>
          <w:highlight w:val="none"/>
          <w:lang w:val="en-US" w:eastAsia="zh-CN"/>
        </w:rPr>
        <w:t>6</w:t>
      </w:r>
      <w:r>
        <w:rPr>
          <w:rFonts w:hint="eastAsia" w:ascii="黑体" w:hAnsi="黑体" w:eastAsia="黑体"/>
          <w:b/>
          <w:color w:val="auto"/>
          <w:sz w:val="32"/>
          <w:szCs w:val="32"/>
          <w:highlight w:val="none"/>
        </w:rPr>
        <w:t>月</w:t>
      </w:r>
      <w:r>
        <w:rPr>
          <w:rFonts w:hint="eastAsia" w:ascii="黑体" w:hAnsi="黑体" w:eastAsia="黑体"/>
          <w:b/>
          <w:color w:val="auto"/>
          <w:sz w:val="32"/>
          <w:szCs w:val="32"/>
          <w:highlight w:val="none"/>
          <w:lang w:val="en-US" w:eastAsia="zh-CN"/>
        </w:rPr>
        <w:t>18</w:t>
      </w:r>
      <w:r>
        <w:rPr>
          <w:rFonts w:hint="eastAsia" w:ascii="黑体" w:hAnsi="黑体" w:eastAsia="黑体"/>
          <w:b/>
          <w:color w:val="auto"/>
          <w:sz w:val="32"/>
          <w:szCs w:val="32"/>
          <w:highlight w:val="none"/>
        </w:rPr>
        <w:t>日</w:t>
      </w:r>
    </w:p>
    <w:p w14:paraId="1F6AF1DC">
      <w:pPr>
        <w:pStyle w:val="76"/>
        <w:ind w:firstLine="0" w:firstLineChars="0"/>
        <w:jc w:val="center"/>
        <w:rPr>
          <w:rFonts w:ascii="宋体" w:hAnsi="宋体" w:eastAsia="宋体" w:cs="Arial"/>
          <w:color w:val="auto"/>
          <w:kern w:val="44"/>
          <w:szCs w:val="36"/>
          <w:highlight w:val="none"/>
        </w:rPr>
      </w:pPr>
      <w:r>
        <w:rPr>
          <w:rFonts w:hint="eastAsia" w:ascii="宋体" w:hAnsi="宋体" w:eastAsia="宋体" w:cs="Arial"/>
          <w:color w:val="auto"/>
          <w:kern w:val="44"/>
          <w:szCs w:val="36"/>
          <w:highlight w:val="none"/>
        </w:rPr>
        <w:t>第一部分 谈判邀请函</w:t>
      </w:r>
    </w:p>
    <w:p w14:paraId="7D41E290">
      <w:pPr>
        <w:spacing w:line="360" w:lineRule="auto"/>
        <w:rPr>
          <w:color w:val="auto"/>
          <w:highlight w:val="none"/>
        </w:rPr>
      </w:pPr>
    </w:p>
    <w:p w14:paraId="39831BB6">
      <w:pPr>
        <w:spacing w:line="360" w:lineRule="auto"/>
        <w:rPr>
          <w:bCs/>
          <w:color w:val="auto"/>
          <w:highlight w:val="none"/>
        </w:rPr>
      </w:pPr>
      <w:r>
        <w:rPr>
          <w:rFonts w:hint="eastAsia"/>
          <w:color w:val="auto"/>
          <w:highlight w:val="none"/>
        </w:rPr>
        <w:t>敬启者：</w:t>
      </w:r>
    </w:p>
    <w:p w14:paraId="7F33D294">
      <w:pPr>
        <w:spacing w:line="360" w:lineRule="auto"/>
        <w:ind w:firstLine="420" w:firstLineChars="200"/>
        <w:rPr>
          <w:rFonts w:hint="eastAsia"/>
          <w:color w:val="auto"/>
          <w:highlight w:val="none"/>
        </w:rPr>
      </w:pPr>
      <w:r>
        <w:rPr>
          <w:rFonts w:hint="eastAsia"/>
          <w:color w:val="auto"/>
          <w:sz w:val="21"/>
          <w:highlight w:val="none"/>
          <w:lang w:val="en-US" w:eastAsia="zh-CN"/>
        </w:rPr>
        <w:t>厦门航空有限</w:t>
      </w:r>
      <w:r>
        <w:rPr>
          <w:rFonts w:hint="eastAsia"/>
          <w:color w:val="auto"/>
          <w:sz w:val="21"/>
          <w:highlight w:val="none"/>
          <w:lang w:eastAsia="zh-CN"/>
        </w:rPr>
        <w:t>公司</w:t>
      </w:r>
      <w:r>
        <w:rPr>
          <w:rFonts w:hint="eastAsia"/>
          <w:color w:val="auto"/>
          <w:highlight w:val="none"/>
        </w:rPr>
        <w:t>邀请贵公司参加</w:t>
      </w:r>
      <w:r>
        <w:rPr>
          <w:rFonts w:hint="eastAsia" w:ascii="宋体" w:hAnsi="宋体" w:cs="Arial"/>
          <w:color w:val="auto"/>
          <w:sz w:val="21"/>
          <w:highlight w:val="none"/>
        </w:rPr>
        <w:t>【</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ascii="宋体" w:hAnsi="宋体" w:cs="Arial"/>
          <w:color w:val="auto"/>
          <w:sz w:val="21"/>
          <w:highlight w:val="none"/>
        </w:rPr>
        <w:t>】</w:t>
      </w:r>
      <w:r>
        <w:rPr>
          <w:rFonts w:hint="eastAsia"/>
          <w:color w:val="auto"/>
          <w:highlight w:val="none"/>
          <w:lang w:eastAsia="zh-CN"/>
        </w:rPr>
        <w:t>谈判</w:t>
      </w:r>
      <w:r>
        <w:rPr>
          <w:rFonts w:hint="eastAsia"/>
          <w:color w:val="auto"/>
          <w:highlight w:val="none"/>
        </w:rPr>
        <w:t>，欢迎贵司参与报价和谈判。</w:t>
      </w:r>
    </w:p>
    <w:p w14:paraId="2DD8EBC0">
      <w:pPr>
        <w:numPr>
          <w:ilvl w:val="0"/>
          <w:numId w:val="2"/>
        </w:numPr>
        <w:tabs>
          <w:tab w:val="left" w:pos="993"/>
        </w:tabs>
        <w:spacing w:line="360" w:lineRule="auto"/>
        <w:rPr>
          <w:color w:val="auto"/>
          <w:highlight w:val="none"/>
        </w:rPr>
      </w:pPr>
      <w:r>
        <w:rPr>
          <w:rFonts w:hint="eastAsia"/>
          <w:color w:val="auto"/>
          <w:highlight w:val="none"/>
        </w:rPr>
        <w:t>采购项目编号：</w:t>
      </w:r>
      <w:r>
        <w:rPr>
          <w:rFonts w:hint="eastAsia"/>
          <w:color w:val="auto"/>
          <w:highlight w:val="none"/>
          <w:lang w:eastAsia="zh-CN"/>
        </w:rPr>
        <w:t>【</w:t>
      </w:r>
      <w:r>
        <w:rPr>
          <w:rFonts w:hint="eastAsia"/>
          <w:color w:val="auto"/>
          <w:highlight w:val="none"/>
          <w:lang w:val="en-US" w:eastAsia="zh-CN"/>
        </w:rPr>
        <w:t>无</w:t>
      </w:r>
      <w:r>
        <w:rPr>
          <w:rFonts w:hint="eastAsia"/>
          <w:color w:val="auto"/>
          <w:highlight w:val="none"/>
          <w:lang w:eastAsia="zh-CN"/>
        </w:rPr>
        <w:t>】</w:t>
      </w:r>
    </w:p>
    <w:p w14:paraId="30F33A06">
      <w:pPr>
        <w:numPr>
          <w:ilvl w:val="0"/>
          <w:numId w:val="2"/>
        </w:numPr>
        <w:tabs>
          <w:tab w:val="left" w:pos="993"/>
        </w:tabs>
        <w:spacing w:line="360" w:lineRule="auto"/>
        <w:rPr>
          <w:rFonts w:hint="eastAsia"/>
          <w:b w:val="0"/>
          <w:bCs w:val="0"/>
          <w:color w:val="auto"/>
          <w:highlight w:val="none"/>
          <w:lang w:val="en-US" w:eastAsia="zh-CN"/>
        </w:rPr>
      </w:pPr>
      <w:r>
        <w:rPr>
          <w:rFonts w:hint="eastAsia"/>
          <w:color w:val="auto"/>
          <w:highlight w:val="none"/>
        </w:rPr>
        <w:t>项目名称:</w:t>
      </w:r>
      <w:r>
        <w:rPr>
          <w:rFonts w:hint="eastAsia"/>
          <w:b w:val="0"/>
          <w:bCs w:val="0"/>
          <w:color w:val="auto"/>
          <w:highlight w:val="none"/>
          <w:lang w:val="en-US" w:eastAsia="zh-CN"/>
        </w:rPr>
        <w:t>项目划分为2个合同包</w:t>
      </w:r>
    </w:p>
    <w:p w14:paraId="2A58602E">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2B0D1F79">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42D07A9C">
      <w:pPr>
        <w:pStyle w:val="121"/>
        <w:numPr>
          <w:ilvl w:val="0"/>
          <w:numId w:val="2"/>
        </w:numPr>
        <w:spacing w:line="360" w:lineRule="auto"/>
        <w:ind w:firstLineChars="0"/>
        <w:rPr>
          <w:color w:val="auto"/>
          <w:highlight w:val="none"/>
        </w:rPr>
      </w:pPr>
      <w:r>
        <w:rPr>
          <w:rFonts w:hint="eastAsia"/>
          <w:color w:val="auto"/>
          <w:highlight w:val="none"/>
        </w:rPr>
        <w:t>谈判文件获取途径：详见https://www.xiamenair.cn/zh-cn/</w:t>
      </w:r>
      <w:r>
        <w:rPr>
          <w:color w:val="auto"/>
          <w:highlight w:val="none"/>
        </w:rPr>
        <w:t>。</w:t>
      </w:r>
      <w:r>
        <w:rPr>
          <w:rFonts w:hint="eastAsia"/>
          <w:color w:val="auto"/>
          <w:highlight w:val="none"/>
          <w:lang w:val="en-US" w:eastAsia="zh-CN"/>
        </w:rPr>
        <w:t>采购人</w:t>
      </w:r>
      <w:r>
        <w:rPr>
          <w:color w:val="auto"/>
          <w:highlight w:val="none"/>
        </w:rPr>
        <w:t>只向资格预审获批的供应商发出</w:t>
      </w:r>
      <w:r>
        <w:rPr>
          <w:rFonts w:hint="eastAsia"/>
          <w:color w:val="auto"/>
          <w:highlight w:val="none"/>
        </w:rPr>
        <w:t>谈判</w:t>
      </w:r>
      <w:r>
        <w:rPr>
          <w:color w:val="auto"/>
          <w:highlight w:val="none"/>
        </w:rPr>
        <w:t>文件。</w:t>
      </w:r>
    </w:p>
    <w:p w14:paraId="7CE0EAC5">
      <w:pPr>
        <w:numPr>
          <w:ilvl w:val="0"/>
          <w:numId w:val="2"/>
        </w:numPr>
        <w:tabs>
          <w:tab w:val="left" w:pos="993"/>
        </w:tabs>
        <w:spacing w:line="360" w:lineRule="auto"/>
        <w:rPr>
          <w:color w:val="auto"/>
          <w:highlight w:val="none"/>
          <w:u w:val="single"/>
        </w:rPr>
      </w:pPr>
      <w:r>
        <w:rPr>
          <w:rFonts w:hint="eastAsia"/>
          <w:color w:val="auto"/>
          <w:highlight w:val="none"/>
        </w:rPr>
        <w:t>响应文件递交截止时间：</w:t>
      </w:r>
      <w:r>
        <w:rPr>
          <w:rFonts w:hint="eastAsia"/>
          <w:color w:val="auto"/>
          <w:highlight w:val="none"/>
          <w:u w:val="single"/>
          <w:lang w:val="en-US" w:eastAsia="zh-CN"/>
        </w:rPr>
        <w:t>2026</w:t>
      </w:r>
      <w:r>
        <w:rPr>
          <w:rFonts w:hint="eastAsia"/>
          <w:color w:val="auto"/>
          <w:highlight w:val="none"/>
          <w:u w:val="single"/>
        </w:rPr>
        <w:t>年</w:t>
      </w:r>
      <w:r>
        <w:rPr>
          <w:rFonts w:hint="eastAsia"/>
          <w:color w:val="auto"/>
          <w:highlight w:val="none"/>
          <w:u w:val="single"/>
          <w:lang w:val="en-US" w:eastAsia="zh-CN"/>
        </w:rPr>
        <w:t>7</w:t>
      </w:r>
      <w:r>
        <w:rPr>
          <w:rFonts w:hint="eastAsia"/>
          <w:color w:val="auto"/>
          <w:highlight w:val="none"/>
          <w:u w:val="single"/>
        </w:rPr>
        <w:t>月</w:t>
      </w:r>
      <w:r>
        <w:rPr>
          <w:rFonts w:hint="eastAsia"/>
          <w:color w:val="auto"/>
          <w:highlight w:val="none"/>
          <w:u w:val="single"/>
          <w:lang w:val="en-US" w:eastAsia="zh-CN"/>
        </w:rPr>
        <w:t xml:space="preserve">6 </w:t>
      </w:r>
      <w:r>
        <w:rPr>
          <w:rFonts w:hint="eastAsia"/>
          <w:color w:val="auto"/>
          <w:highlight w:val="none"/>
          <w:u w:val="single"/>
        </w:rPr>
        <w:t xml:space="preserve">日 </w:t>
      </w:r>
      <w:r>
        <w:rPr>
          <w:rFonts w:hint="eastAsia"/>
          <w:color w:val="auto"/>
          <w:highlight w:val="none"/>
          <w:u w:val="single"/>
          <w:lang w:val="en-US" w:eastAsia="zh-CN"/>
        </w:rPr>
        <w:t>14</w:t>
      </w:r>
      <w:r>
        <w:rPr>
          <w:rFonts w:hint="eastAsia"/>
          <w:color w:val="auto"/>
          <w:highlight w:val="none"/>
          <w:u w:val="single"/>
        </w:rPr>
        <w:t>:00整（北京时间）。</w:t>
      </w:r>
    </w:p>
    <w:p w14:paraId="517F90DA">
      <w:pPr>
        <w:numPr>
          <w:ilvl w:val="0"/>
          <w:numId w:val="2"/>
        </w:numPr>
        <w:tabs>
          <w:tab w:val="left" w:pos="993"/>
        </w:tabs>
        <w:spacing w:line="360" w:lineRule="auto"/>
        <w:rPr>
          <w:rFonts w:hint="eastAsia" w:ascii="宋体" w:hAnsi="宋体" w:eastAsia="宋体" w:cs="Arial"/>
          <w:color w:val="auto"/>
          <w:sz w:val="21"/>
          <w:szCs w:val="21"/>
          <w:highlight w:val="none"/>
          <w:lang w:val="en-US" w:eastAsia="zh-CN"/>
        </w:rPr>
      </w:pPr>
      <w:r>
        <w:rPr>
          <w:rFonts w:hint="eastAsia"/>
          <w:color w:val="auto"/>
          <w:highlight w:val="none"/>
        </w:rPr>
        <w:t>递交地点：</w:t>
      </w:r>
      <w:r>
        <w:rPr>
          <w:rFonts w:hint="eastAsia" w:ascii="宋体" w:hAnsi="宋体" w:eastAsia="宋体" w:cs="Arial"/>
          <w:color w:val="auto"/>
          <w:sz w:val="21"/>
          <w:szCs w:val="21"/>
          <w:highlight w:val="none"/>
        </w:rPr>
        <w:t>河北省廊坊市广阳区九州镇滦河路11号厦门航空北方总部</w:t>
      </w:r>
      <w:r>
        <w:rPr>
          <w:rFonts w:hint="eastAsia" w:ascii="宋体" w:hAnsi="宋体" w:eastAsia="宋体" w:cs="Arial"/>
          <w:color w:val="auto"/>
          <w:sz w:val="21"/>
          <w:szCs w:val="21"/>
          <w:highlight w:val="none"/>
          <w:lang w:val="en-US" w:eastAsia="zh-CN"/>
        </w:rPr>
        <w:t>地勤楼六层会议室。</w:t>
      </w:r>
    </w:p>
    <w:p w14:paraId="68B39D66">
      <w:pPr>
        <w:numPr>
          <w:ilvl w:val="0"/>
          <w:numId w:val="2"/>
        </w:numPr>
        <w:tabs>
          <w:tab w:val="left" w:pos="993"/>
        </w:tabs>
        <w:spacing w:line="360" w:lineRule="auto"/>
        <w:rPr>
          <w:color w:val="auto"/>
          <w:highlight w:val="none"/>
        </w:rPr>
      </w:pPr>
      <w:r>
        <w:rPr>
          <w:rFonts w:hint="eastAsia"/>
          <w:color w:val="auto"/>
          <w:highlight w:val="none"/>
        </w:rPr>
        <w:t>谈判时间：</w:t>
      </w:r>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6</w:t>
      </w:r>
      <w:r>
        <w:rPr>
          <w:rFonts w:hint="eastAsia"/>
          <w:color w:val="auto"/>
          <w:highlight w:val="none"/>
        </w:rPr>
        <w:t xml:space="preserve">日 </w:t>
      </w:r>
      <w:r>
        <w:rPr>
          <w:rFonts w:hint="eastAsia"/>
          <w:color w:val="auto"/>
          <w:highlight w:val="none"/>
          <w:lang w:val="en-US" w:eastAsia="zh-CN"/>
        </w:rPr>
        <w:t>14</w:t>
      </w:r>
      <w:r>
        <w:rPr>
          <w:rFonts w:hint="eastAsia"/>
          <w:color w:val="auto"/>
          <w:highlight w:val="none"/>
        </w:rPr>
        <w:t>:</w:t>
      </w:r>
      <w:r>
        <w:rPr>
          <w:rFonts w:hint="eastAsia"/>
          <w:color w:val="auto"/>
          <w:highlight w:val="none"/>
          <w:lang w:val="en-US" w:eastAsia="zh-CN"/>
        </w:rPr>
        <w:t>3</w:t>
      </w:r>
      <w:r>
        <w:rPr>
          <w:rFonts w:hint="eastAsia"/>
          <w:color w:val="auto"/>
          <w:highlight w:val="none"/>
        </w:rPr>
        <w:t>0整（北京时间）。</w:t>
      </w:r>
    </w:p>
    <w:p w14:paraId="71DB4074">
      <w:pPr>
        <w:spacing w:line="360" w:lineRule="auto"/>
        <w:ind w:left="898" w:leftChars="400" w:hanging="58" w:hangingChars="28"/>
        <w:rPr>
          <w:color w:val="auto"/>
          <w:highlight w:val="none"/>
          <w:u w:val="single"/>
        </w:rPr>
      </w:pPr>
      <w:r>
        <w:rPr>
          <w:rFonts w:hint="eastAsia"/>
          <w:color w:val="auto"/>
          <w:highlight w:val="none"/>
        </w:rPr>
        <w:t>谈判地点：</w:t>
      </w:r>
      <w:r>
        <w:rPr>
          <w:rFonts w:hint="eastAsia" w:ascii="宋体" w:hAnsi="宋体" w:eastAsia="宋体" w:cs="Arial"/>
          <w:color w:val="auto"/>
          <w:sz w:val="21"/>
          <w:szCs w:val="21"/>
          <w:highlight w:val="none"/>
        </w:rPr>
        <w:t>河北省廊坊市广阳区九州镇滦河路11号厦门航空北方总部</w:t>
      </w:r>
      <w:r>
        <w:rPr>
          <w:rFonts w:hint="eastAsia" w:ascii="宋体" w:hAnsi="宋体" w:eastAsia="宋体" w:cs="Arial"/>
          <w:color w:val="auto"/>
          <w:sz w:val="21"/>
          <w:szCs w:val="21"/>
          <w:highlight w:val="none"/>
          <w:lang w:val="en-US" w:eastAsia="zh-CN"/>
        </w:rPr>
        <w:t>地勤楼六层会议室</w:t>
      </w:r>
      <w:r>
        <w:rPr>
          <w:rFonts w:hint="eastAsia"/>
          <w:color w:val="auto"/>
          <w:highlight w:val="none"/>
          <w:u w:val="single"/>
        </w:rPr>
        <w:t>。</w:t>
      </w:r>
    </w:p>
    <w:p w14:paraId="13773158">
      <w:pPr>
        <w:spacing w:line="360" w:lineRule="auto"/>
        <w:ind w:left="898" w:leftChars="400" w:hanging="58" w:hangingChars="28"/>
        <w:rPr>
          <w:color w:val="auto"/>
          <w:highlight w:val="none"/>
        </w:rPr>
      </w:pPr>
      <w:r>
        <w:rPr>
          <w:rFonts w:hint="eastAsia"/>
          <w:color w:val="auto"/>
          <w:highlight w:val="none"/>
        </w:rPr>
        <w:t>届时请参加谈判的单位法定代表人或授权委托人参与谈判。</w:t>
      </w:r>
    </w:p>
    <w:p w14:paraId="02D0FB84">
      <w:pPr>
        <w:numPr>
          <w:ilvl w:val="0"/>
          <w:numId w:val="2"/>
        </w:numPr>
        <w:tabs>
          <w:tab w:val="left" w:pos="993"/>
        </w:tabs>
        <w:spacing w:line="360" w:lineRule="auto"/>
        <w:rPr>
          <w:color w:val="auto"/>
          <w:highlight w:val="none"/>
        </w:rPr>
      </w:pPr>
      <w:r>
        <w:rPr>
          <w:rFonts w:hint="eastAsia"/>
          <w:color w:val="auto"/>
          <w:highlight w:val="none"/>
        </w:rPr>
        <w:t>联系方式：</w:t>
      </w:r>
    </w:p>
    <w:p w14:paraId="1255AA60">
      <w:pPr>
        <w:spacing w:line="360" w:lineRule="auto"/>
        <w:ind w:firstLine="1260" w:firstLineChars="600"/>
        <w:jc w:val="left"/>
        <w:rPr>
          <w:rFonts w:hint="default" w:eastAsia="宋体"/>
          <w:color w:val="auto"/>
          <w:highlight w:val="none"/>
          <w:lang w:val="en-US" w:eastAsia="zh-CN"/>
        </w:rPr>
      </w:pPr>
      <w:r>
        <w:rPr>
          <w:rFonts w:hint="eastAsia"/>
          <w:color w:val="auto"/>
          <w:highlight w:val="none"/>
        </w:rPr>
        <w:t>联系人：</w:t>
      </w:r>
      <w:r>
        <w:rPr>
          <w:rFonts w:hint="eastAsia"/>
          <w:color w:val="auto"/>
          <w:highlight w:val="none"/>
          <w:lang w:val="en-US" w:eastAsia="zh-CN"/>
        </w:rPr>
        <w:t>卢先生</w:t>
      </w:r>
      <w:r>
        <w:rPr>
          <w:rFonts w:hint="eastAsia"/>
          <w:color w:val="auto"/>
          <w:highlight w:val="none"/>
        </w:rPr>
        <w:t xml:space="preserve">　　　电话： </w:t>
      </w:r>
      <w:r>
        <w:rPr>
          <w:rFonts w:hint="eastAsia"/>
          <w:color w:val="auto"/>
          <w:highlight w:val="none"/>
          <w:lang w:val="en-US" w:eastAsia="zh-CN"/>
        </w:rPr>
        <w:t>0316-5210300</w:t>
      </w:r>
    </w:p>
    <w:p w14:paraId="0D7E1BC6">
      <w:pPr>
        <w:spacing w:line="360" w:lineRule="auto"/>
        <w:ind w:firstLine="980"/>
        <w:jc w:val="right"/>
        <w:rPr>
          <w:color w:val="auto"/>
          <w:sz w:val="28"/>
          <w:szCs w:val="28"/>
          <w:highlight w:val="none"/>
        </w:rPr>
      </w:pPr>
      <w:bookmarkStart w:id="0" w:name="_Hlk105425128"/>
      <w:bookmarkStart w:id="1" w:name="_Hlk104472898"/>
      <w:r>
        <w:rPr>
          <w:rFonts w:hint="eastAsia"/>
          <w:color w:val="auto"/>
          <w:sz w:val="28"/>
          <w:szCs w:val="28"/>
          <w:highlight w:val="none"/>
        </w:rPr>
        <w:t>　　　　　　　　　　　　　　　　</w:t>
      </w:r>
    </w:p>
    <w:p w14:paraId="41A60B75">
      <w:pPr>
        <w:spacing w:line="360" w:lineRule="auto"/>
        <w:ind w:firstLine="4935" w:firstLineChars="2350"/>
        <w:jc w:val="right"/>
        <w:rPr>
          <w:rFonts w:hint="eastAsia"/>
          <w:color w:val="auto"/>
          <w:highlight w:val="none"/>
          <w:lang w:val="en-US" w:eastAsia="zh-CN"/>
        </w:rPr>
      </w:pPr>
      <w:bookmarkStart w:id="2" w:name="_Hlk105425322"/>
      <w:r>
        <w:rPr>
          <w:rFonts w:hint="eastAsia"/>
          <w:color w:val="auto"/>
          <w:highlight w:val="none"/>
          <w:lang w:val="en-US" w:eastAsia="zh-CN"/>
        </w:rPr>
        <w:t>厦门航空有限公司</w:t>
      </w:r>
    </w:p>
    <w:p w14:paraId="5ADC12A3">
      <w:pPr>
        <w:spacing w:line="360" w:lineRule="auto"/>
        <w:ind w:firstLine="4935" w:firstLineChars="2350"/>
        <w:jc w:val="right"/>
        <w:rPr>
          <w:rFonts w:cs="仿宋_GB2312"/>
          <w:color w:val="auto"/>
          <w:highlight w:val="none"/>
        </w:rPr>
      </w:pPr>
      <w:r>
        <w:rPr>
          <w:rFonts w:hint="eastAsia" w:cs="仿宋_GB2312"/>
          <w:color w:val="auto"/>
          <w:highlight w:val="none"/>
        </w:rPr>
        <w:t>20</w:t>
      </w:r>
      <w:r>
        <w:rPr>
          <w:rFonts w:hint="eastAsia" w:cs="仿宋_GB2312"/>
          <w:color w:val="auto"/>
          <w:highlight w:val="none"/>
          <w:lang w:val="en-US" w:eastAsia="zh-CN"/>
        </w:rPr>
        <w:t>26</w:t>
      </w:r>
      <w:r>
        <w:rPr>
          <w:rFonts w:hint="eastAsia" w:cs="仿宋_GB2312"/>
          <w:color w:val="auto"/>
          <w:highlight w:val="none"/>
        </w:rPr>
        <w:t>年</w:t>
      </w:r>
      <w:r>
        <w:rPr>
          <w:rFonts w:hint="eastAsia" w:cs="仿宋_GB2312"/>
          <w:color w:val="auto"/>
          <w:highlight w:val="none"/>
          <w:lang w:val="en-US" w:eastAsia="zh-CN"/>
        </w:rPr>
        <w:t>6</w:t>
      </w:r>
      <w:r>
        <w:rPr>
          <w:rFonts w:hint="eastAsia" w:cs="仿宋_GB2312"/>
          <w:color w:val="auto"/>
          <w:highlight w:val="none"/>
        </w:rPr>
        <w:t>月</w:t>
      </w:r>
      <w:r>
        <w:rPr>
          <w:rFonts w:hint="eastAsia" w:cs="仿宋_GB2312"/>
          <w:color w:val="auto"/>
          <w:highlight w:val="none"/>
          <w:lang w:val="en-US" w:eastAsia="zh-CN"/>
        </w:rPr>
        <w:t>29</w:t>
      </w:r>
      <w:bookmarkStart w:id="86" w:name="_GoBack"/>
      <w:bookmarkEnd w:id="86"/>
      <w:r>
        <w:rPr>
          <w:rFonts w:hint="eastAsia" w:cs="仿宋_GB2312"/>
          <w:color w:val="auto"/>
          <w:highlight w:val="none"/>
        </w:rPr>
        <w:t>日</w:t>
      </w:r>
    </w:p>
    <w:p w14:paraId="5A94A1F2">
      <w:pPr>
        <w:spacing w:line="360" w:lineRule="auto"/>
        <w:ind w:firstLine="4935" w:firstLineChars="2350"/>
        <w:jc w:val="right"/>
        <w:rPr>
          <w:rFonts w:cs="仿宋_GB2312"/>
          <w:color w:val="auto"/>
          <w:highlight w:val="none"/>
        </w:rPr>
      </w:pPr>
    </w:p>
    <w:p w14:paraId="1BB63B92">
      <w:pPr>
        <w:spacing w:line="360" w:lineRule="auto"/>
        <w:ind w:firstLine="4935" w:firstLineChars="2350"/>
        <w:jc w:val="right"/>
        <w:rPr>
          <w:rFonts w:cs="仿宋_GB2312"/>
          <w:color w:val="auto"/>
          <w:highlight w:val="none"/>
        </w:rPr>
      </w:pPr>
    </w:p>
    <w:p w14:paraId="1DAD262C">
      <w:pPr>
        <w:spacing w:line="380" w:lineRule="exact"/>
        <w:ind w:firstLine="4935" w:firstLineChars="2350"/>
        <w:jc w:val="center"/>
        <w:rPr>
          <w:rFonts w:cs="仿宋_GB2312"/>
          <w:color w:val="auto"/>
          <w:highlight w:val="none"/>
        </w:rPr>
      </w:pPr>
    </w:p>
    <w:p w14:paraId="54487DFE">
      <w:pPr>
        <w:spacing w:line="380" w:lineRule="exact"/>
        <w:ind w:firstLine="4935" w:firstLineChars="2350"/>
        <w:jc w:val="center"/>
        <w:rPr>
          <w:color w:val="auto"/>
          <w:highlight w:val="none"/>
        </w:rPr>
      </w:pPr>
    </w:p>
    <w:p w14:paraId="1CFB8D45">
      <w:pPr>
        <w:spacing w:line="380" w:lineRule="exact"/>
        <w:ind w:firstLine="4935" w:firstLineChars="2350"/>
        <w:jc w:val="center"/>
        <w:rPr>
          <w:color w:val="auto"/>
          <w:highlight w:val="none"/>
        </w:rPr>
      </w:pPr>
    </w:p>
    <w:bookmarkEnd w:id="0"/>
    <w:bookmarkEnd w:id="2"/>
    <w:p w14:paraId="765F13B1">
      <w:pPr>
        <w:spacing w:line="380" w:lineRule="exact"/>
        <w:ind w:firstLine="4935" w:firstLineChars="2350"/>
        <w:jc w:val="center"/>
        <w:rPr>
          <w:color w:val="auto"/>
          <w:highlight w:val="none"/>
        </w:rPr>
      </w:pPr>
    </w:p>
    <w:bookmarkEnd w:id="1"/>
    <w:p w14:paraId="1441A982">
      <w:pPr>
        <w:spacing w:line="380" w:lineRule="exact"/>
        <w:ind w:firstLine="4935" w:firstLineChars="2350"/>
        <w:jc w:val="center"/>
        <w:rPr>
          <w:color w:val="auto"/>
          <w:highlight w:val="none"/>
        </w:rPr>
      </w:pPr>
    </w:p>
    <w:p w14:paraId="51017EC1">
      <w:pPr>
        <w:spacing w:line="380" w:lineRule="exact"/>
        <w:ind w:firstLine="4935" w:firstLineChars="2350"/>
        <w:jc w:val="center"/>
        <w:rPr>
          <w:color w:val="auto"/>
          <w:highlight w:val="none"/>
        </w:rPr>
      </w:pPr>
    </w:p>
    <w:p w14:paraId="4575655F">
      <w:pPr>
        <w:pStyle w:val="76"/>
        <w:ind w:firstLine="0" w:firstLineChars="0"/>
        <w:jc w:val="center"/>
        <w:rPr>
          <w:rFonts w:ascii="宋体" w:hAnsi="宋体" w:eastAsia="宋体" w:cs="Arial"/>
          <w:color w:val="auto"/>
          <w:kern w:val="44"/>
          <w:szCs w:val="36"/>
          <w:highlight w:val="none"/>
        </w:rPr>
      </w:pPr>
      <w:r>
        <w:rPr>
          <w:rFonts w:hint="eastAsia" w:ascii="宋体" w:hAnsi="宋体" w:eastAsia="宋体" w:cs="Arial"/>
          <w:color w:val="auto"/>
          <w:kern w:val="44"/>
          <w:szCs w:val="36"/>
          <w:highlight w:val="none"/>
        </w:rPr>
        <w:t xml:space="preserve">第二部分 </w:t>
      </w:r>
      <w:r>
        <w:rPr>
          <w:rFonts w:ascii="宋体" w:hAnsi="宋体" w:eastAsia="宋体" w:cs="Arial"/>
          <w:color w:val="auto"/>
          <w:kern w:val="44"/>
          <w:szCs w:val="36"/>
          <w:highlight w:val="none"/>
        </w:rPr>
        <w:t xml:space="preserve"> </w:t>
      </w:r>
      <w:r>
        <w:rPr>
          <w:rFonts w:hint="eastAsia" w:ascii="宋体" w:hAnsi="宋体" w:eastAsia="宋体" w:cs="Arial"/>
          <w:color w:val="auto"/>
          <w:kern w:val="44"/>
          <w:szCs w:val="36"/>
          <w:highlight w:val="none"/>
        </w:rPr>
        <w:t>谈判供应商须知</w:t>
      </w:r>
    </w:p>
    <w:p w14:paraId="4733A63D">
      <w:pPr>
        <w:pStyle w:val="4"/>
        <w:spacing w:before="0"/>
        <w:jc w:val="center"/>
        <w:rPr>
          <w:rFonts w:ascii="宋体" w:hAnsi="宋体" w:eastAsia="宋体"/>
          <w:color w:val="auto"/>
          <w:highlight w:val="none"/>
        </w:rPr>
      </w:pPr>
      <w:bookmarkStart w:id="3" w:name="_Toc312310724"/>
      <w:bookmarkStart w:id="4" w:name="_Toc21486"/>
      <w:bookmarkStart w:id="5" w:name="_Toc32193"/>
      <w:bookmarkStart w:id="6" w:name="_Toc81932959"/>
      <w:r>
        <w:rPr>
          <w:rFonts w:hint="eastAsia" w:asciiTheme="majorEastAsia" w:hAnsiTheme="majorEastAsia" w:eastAsiaTheme="majorEastAsia"/>
          <w:color w:val="auto"/>
          <w:sz w:val="28"/>
          <w:szCs w:val="21"/>
          <w:highlight w:val="none"/>
          <w:lang w:eastAsia="zh-CN"/>
        </w:rPr>
        <w:t>谈判供应商</w:t>
      </w:r>
      <w:r>
        <w:rPr>
          <w:rFonts w:hint="eastAsia" w:asciiTheme="majorEastAsia" w:hAnsiTheme="majorEastAsia" w:eastAsiaTheme="majorEastAsia"/>
          <w:color w:val="auto"/>
          <w:sz w:val="28"/>
          <w:szCs w:val="21"/>
          <w:highlight w:val="none"/>
        </w:rPr>
        <w:t>须知前附表1</w:t>
      </w:r>
      <w:bookmarkEnd w:id="3"/>
      <w:bookmarkEnd w:id="4"/>
      <w:bookmarkEnd w:id="5"/>
      <w:bookmarkEnd w:id="6"/>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7986"/>
      </w:tblGrid>
      <w:tr w14:paraId="00E3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057" w:type="dxa"/>
            <w:noWrap w:val="0"/>
            <w:tcMar>
              <w:top w:w="85" w:type="dxa"/>
              <w:left w:w="57" w:type="dxa"/>
              <w:bottom w:w="85" w:type="dxa"/>
              <w:right w:w="57" w:type="dxa"/>
            </w:tcMar>
            <w:vAlign w:val="center"/>
          </w:tcPr>
          <w:p w14:paraId="4CED7315">
            <w:pPr>
              <w:keepNext w:val="0"/>
              <w:keepLines w:val="0"/>
              <w:suppressLineNumbers w:val="0"/>
              <w:spacing w:before="0" w:beforeAutospacing="0" w:after="0" w:afterAutospacing="0" w:line="360" w:lineRule="auto"/>
              <w:ind w:left="0" w:right="0"/>
              <w:jc w:val="center"/>
              <w:rPr>
                <w:rFonts w:hint="eastAsia" w:ascii="宋体" w:hAnsi="宋体" w:cs="宋体"/>
                <w:b/>
                <w:bCs/>
                <w:color w:val="auto"/>
                <w:sz w:val="21"/>
                <w:szCs w:val="21"/>
                <w:highlight w:val="none"/>
              </w:rPr>
            </w:pPr>
            <w:r>
              <w:rPr>
                <w:rFonts w:hint="eastAsia" w:cs="宋体"/>
                <w:b/>
                <w:bCs/>
                <w:color w:val="auto"/>
                <w:sz w:val="21"/>
                <w:szCs w:val="21"/>
                <w:highlight w:val="none"/>
                <w:lang w:val="en-US" w:eastAsia="zh-CN"/>
              </w:rPr>
              <w:t>序</w:t>
            </w:r>
            <w:r>
              <w:rPr>
                <w:rFonts w:hint="eastAsia" w:ascii="宋体" w:hAnsi="宋体" w:cs="宋体"/>
                <w:b/>
                <w:bCs/>
                <w:color w:val="auto"/>
                <w:sz w:val="21"/>
                <w:szCs w:val="21"/>
                <w:highlight w:val="none"/>
              </w:rPr>
              <w:t>号</w:t>
            </w:r>
          </w:p>
        </w:tc>
        <w:tc>
          <w:tcPr>
            <w:tcW w:w="7986" w:type="dxa"/>
            <w:noWrap w:val="0"/>
            <w:tcMar>
              <w:top w:w="85" w:type="dxa"/>
              <w:left w:w="57" w:type="dxa"/>
              <w:bottom w:w="85" w:type="dxa"/>
              <w:right w:w="57" w:type="dxa"/>
            </w:tcMar>
            <w:vAlign w:val="center"/>
          </w:tcPr>
          <w:p w14:paraId="69D3DAC6">
            <w:pPr>
              <w:keepNext w:val="0"/>
              <w:keepLines w:val="0"/>
              <w:suppressLineNumbers w:val="0"/>
              <w:spacing w:before="0" w:beforeAutospacing="0" w:after="0" w:afterAutospacing="0" w:line="360" w:lineRule="auto"/>
              <w:ind w:left="0" w:right="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编   列   内    容</w:t>
            </w:r>
          </w:p>
        </w:tc>
      </w:tr>
      <w:tr w14:paraId="418E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057" w:type="dxa"/>
            <w:noWrap w:val="0"/>
            <w:tcMar>
              <w:top w:w="85" w:type="dxa"/>
              <w:left w:w="57" w:type="dxa"/>
              <w:bottom w:w="85" w:type="dxa"/>
              <w:right w:w="57" w:type="dxa"/>
            </w:tcMar>
            <w:vAlign w:val="center"/>
          </w:tcPr>
          <w:p w14:paraId="382D3E7A">
            <w:pPr>
              <w:keepNext w:val="0"/>
              <w:keepLines w:val="0"/>
              <w:suppressLineNumbers w:val="0"/>
              <w:spacing w:before="0" w:beforeAutospacing="0" w:after="0" w:afterAutospacing="0" w:line="360" w:lineRule="auto"/>
              <w:ind w:left="0" w:right="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7986" w:type="dxa"/>
            <w:noWrap w:val="0"/>
            <w:tcMar>
              <w:top w:w="85" w:type="dxa"/>
              <w:left w:w="57" w:type="dxa"/>
              <w:bottom w:w="85" w:type="dxa"/>
              <w:right w:w="57" w:type="dxa"/>
            </w:tcMar>
            <w:vAlign w:val="center"/>
          </w:tcPr>
          <w:p w14:paraId="49DEBBA2">
            <w:pPr>
              <w:keepNext w:val="0"/>
              <w:keepLines w:val="0"/>
              <w:numPr>
                <w:ilvl w:val="0"/>
                <w:numId w:val="0"/>
              </w:numPr>
              <w:suppressLineNumbers w:val="0"/>
              <w:tabs>
                <w:tab w:val="left" w:pos="993"/>
              </w:tabs>
              <w:spacing w:before="0" w:beforeAutospacing="0" w:after="0" w:afterAutospacing="0" w:line="360" w:lineRule="auto"/>
              <w:ind w:left="0" w:right="0"/>
              <w:rPr>
                <w:rFonts w:hint="eastAsia"/>
                <w:b w:val="0"/>
                <w:bCs w:val="0"/>
                <w:color w:val="auto"/>
                <w:highlight w:val="none"/>
                <w:lang w:val="en-US" w:eastAsia="zh-CN"/>
              </w:rPr>
            </w:pPr>
            <w:r>
              <w:rPr>
                <w:rFonts w:hint="eastAsia" w:ascii="宋体" w:hAnsi="宋体" w:cs="宋体"/>
                <w:color w:val="auto"/>
                <w:sz w:val="21"/>
                <w:szCs w:val="21"/>
                <w:highlight w:val="none"/>
              </w:rPr>
              <w:t>项目名称：</w:t>
            </w:r>
            <w:r>
              <w:rPr>
                <w:rFonts w:hint="eastAsia"/>
                <w:b w:val="0"/>
                <w:bCs w:val="0"/>
                <w:color w:val="auto"/>
                <w:highlight w:val="none"/>
                <w:lang w:val="en-US" w:eastAsia="zh-CN"/>
              </w:rPr>
              <w:t>项目划分为2个合同包</w:t>
            </w:r>
          </w:p>
          <w:p w14:paraId="082EA16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39C646D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663E5B34">
            <w:pPr>
              <w:keepNext w:val="0"/>
              <w:keepLines w:val="0"/>
              <w:suppressLineNumbers w:val="0"/>
              <w:spacing w:before="0" w:beforeAutospacing="0" w:after="0" w:afterAutospacing="0" w:line="360" w:lineRule="auto"/>
              <w:ind w:left="0" w:right="0"/>
              <w:rPr>
                <w:rFonts w:hint="eastAsia" w:cs="宋体"/>
                <w:color w:val="auto"/>
                <w:sz w:val="21"/>
                <w:szCs w:val="21"/>
                <w:highlight w:val="none"/>
                <w:lang w:val="en-US" w:eastAsia="zh-CN"/>
              </w:rPr>
            </w:pPr>
            <w:r>
              <w:rPr>
                <w:rFonts w:hint="eastAsia" w:cs="宋体"/>
                <w:color w:val="auto"/>
                <w:sz w:val="21"/>
                <w:szCs w:val="21"/>
                <w:highlight w:val="none"/>
                <w:lang w:val="en-US" w:eastAsia="zh-CN"/>
              </w:rPr>
              <w:t>采购</w:t>
            </w:r>
            <w:r>
              <w:rPr>
                <w:rFonts w:hint="eastAsia" w:ascii="宋体" w:hAnsi="宋体" w:cs="宋体"/>
                <w:color w:val="auto"/>
                <w:sz w:val="21"/>
                <w:szCs w:val="21"/>
                <w:highlight w:val="none"/>
              </w:rPr>
              <w:t>人名称：</w:t>
            </w:r>
            <w:r>
              <w:rPr>
                <w:rFonts w:hint="eastAsia" w:cs="宋体"/>
                <w:color w:val="auto"/>
                <w:sz w:val="21"/>
                <w:szCs w:val="21"/>
                <w:highlight w:val="none"/>
                <w:lang w:val="en-US" w:eastAsia="zh-CN"/>
              </w:rPr>
              <w:t>厦门航空有限公司</w:t>
            </w:r>
          </w:p>
          <w:p w14:paraId="32B99229">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项目内容：</w:t>
            </w:r>
            <w:r>
              <w:rPr>
                <w:rFonts w:hint="eastAsia" w:hAnsi="宋体" w:cs="宋体"/>
                <w:color w:val="auto"/>
                <w:sz w:val="21"/>
                <w:szCs w:val="21"/>
                <w:highlight w:val="none"/>
              </w:rPr>
              <w:t>详见</w:t>
            </w:r>
            <w:r>
              <w:rPr>
                <w:rFonts w:hint="eastAsia" w:cs="宋体"/>
                <w:color w:val="auto"/>
                <w:sz w:val="21"/>
                <w:szCs w:val="21"/>
                <w:highlight w:val="none"/>
                <w:lang w:val="en-US" w:eastAsia="zh-CN"/>
              </w:rPr>
              <w:t>谈判</w:t>
            </w:r>
            <w:r>
              <w:rPr>
                <w:rFonts w:hint="eastAsia" w:hAnsi="宋体" w:cs="宋体"/>
                <w:color w:val="auto"/>
                <w:sz w:val="21"/>
                <w:szCs w:val="21"/>
                <w:highlight w:val="none"/>
              </w:rPr>
              <w:t>文件第三章</w:t>
            </w:r>
          </w:p>
        </w:tc>
      </w:tr>
      <w:tr w14:paraId="61D8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7" w:type="dxa"/>
            <w:noWrap w:val="0"/>
            <w:tcMar>
              <w:top w:w="85" w:type="dxa"/>
              <w:left w:w="57" w:type="dxa"/>
              <w:bottom w:w="85" w:type="dxa"/>
              <w:right w:w="57" w:type="dxa"/>
            </w:tcMar>
            <w:vAlign w:val="center"/>
          </w:tcPr>
          <w:p w14:paraId="7DF143A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2</w:t>
            </w:r>
          </w:p>
        </w:tc>
        <w:tc>
          <w:tcPr>
            <w:tcW w:w="7986" w:type="dxa"/>
            <w:noWrap w:val="0"/>
            <w:tcMar>
              <w:top w:w="85" w:type="dxa"/>
              <w:left w:w="57" w:type="dxa"/>
              <w:bottom w:w="85" w:type="dxa"/>
              <w:right w:w="57" w:type="dxa"/>
            </w:tcMar>
            <w:vAlign w:val="center"/>
          </w:tcPr>
          <w:p w14:paraId="60E1D242">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cs="宋体"/>
                <w:color w:val="auto"/>
                <w:sz w:val="21"/>
                <w:szCs w:val="21"/>
                <w:highlight w:val="none"/>
                <w:lang w:val="en-US" w:eastAsia="zh-CN"/>
              </w:rPr>
              <w:t>报价</w:t>
            </w:r>
            <w:r>
              <w:rPr>
                <w:rFonts w:hint="eastAsia" w:ascii="宋体" w:hAnsi="宋体" w:cs="宋体"/>
                <w:color w:val="auto"/>
                <w:sz w:val="21"/>
                <w:szCs w:val="21"/>
                <w:highlight w:val="none"/>
              </w:rPr>
              <w:t>有效期：响应文件递交截止期结束后</w:t>
            </w:r>
            <w:r>
              <w:rPr>
                <w:rFonts w:hint="eastAsia" w:ascii="宋体" w:hAnsi="宋体" w:cs="宋体"/>
                <w:b/>
                <w:color w:val="auto"/>
                <w:sz w:val="21"/>
                <w:szCs w:val="21"/>
                <w:highlight w:val="none"/>
              </w:rPr>
              <w:t>90</w:t>
            </w:r>
            <w:r>
              <w:rPr>
                <w:rFonts w:hint="eastAsia" w:ascii="宋体" w:hAnsi="宋体" w:cs="宋体"/>
                <w:color w:val="auto"/>
                <w:sz w:val="21"/>
                <w:szCs w:val="21"/>
                <w:highlight w:val="none"/>
              </w:rPr>
              <w:t>个日历日。</w:t>
            </w:r>
          </w:p>
          <w:p w14:paraId="111227E4">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ascii="宋体" w:hAnsi="宋体" w:cs="宋体"/>
                <w:color w:val="auto"/>
                <w:sz w:val="21"/>
                <w:szCs w:val="21"/>
                <w:highlight w:val="none"/>
              </w:rPr>
              <w:t>有效期不足将导致其</w:t>
            </w:r>
            <w:r>
              <w:rPr>
                <w:rFonts w:hint="eastAsia" w:cs="宋体"/>
                <w:color w:val="auto"/>
                <w:sz w:val="21"/>
                <w:szCs w:val="21"/>
                <w:highlight w:val="none"/>
                <w:lang w:val="en-US" w:eastAsia="zh-CN"/>
              </w:rPr>
              <w:t>响应</w:t>
            </w:r>
            <w:r>
              <w:rPr>
                <w:rFonts w:hint="eastAsia" w:ascii="宋体" w:hAnsi="宋体" w:cs="宋体"/>
                <w:color w:val="auto"/>
                <w:sz w:val="21"/>
                <w:szCs w:val="21"/>
                <w:highlight w:val="none"/>
              </w:rPr>
              <w:t>文件被拒绝。</w:t>
            </w:r>
          </w:p>
        </w:tc>
      </w:tr>
      <w:tr w14:paraId="345F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7" w:type="dxa"/>
            <w:noWrap w:val="0"/>
            <w:tcMar>
              <w:top w:w="85" w:type="dxa"/>
              <w:left w:w="57" w:type="dxa"/>
              <w:bottom w:w="85" w:type="dxa"/>
              <w:right w:w="57" w:type="dxa"/>
            </w:tcMar>
            <w:vAlign w:val="center"/>
          </w:tcPr>
          <w:p w14:paraId="6890CB61">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3</w:t>
            </w:r>
          </w:p>
        </w:tc>
        <w:tc>
          <w:tcPr>
            <w:tcW w:w="7986" w:type="dxa"/>
            <w:noWrap w:val="0"/>
            <w:tcMar>
              <w:top w:w="85" w:type="dxa"/>
              <w:left w:w="57" w:type="dxa"/>
              <w:bottom w:w="85" w:type="dxa"/>
              <w:right w:w="57" w:type="dxa"/>
            </w:tcMar>
            <w:vAlign w:val="center"/>
          </w:tcPr>
          <w:p w14:paraId="08DCB37D">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cs="宋体"/>
                <w:color w:val="auto"/>
                <w:sz w:val="21"/>
                <w:szCs w:val="21"/>
                <w:highlight w:val="none"/>
                <w:lang w:val="en-US" w:eastAsia="zh-CN"/>
              </w:rPr>
              <w:t>响应</w:t>
            </w:r>
            <w:r>
              <w:rPr>
                <w:rFonts w:hint="eastAsia" w:ascii="宋体" w:hAnsi="宋体" w:cs="宋体"/>
                <w:color w:val="auto"/>
                <w:sz w:val="21"/>
                <w:szCs w:val="21"/>
                <w:highlight w:val="none"/>
              </w:rPr>
              <w:t>文件递交地址：</w:t>
            </w:r>
            <w:r>
              <w:rPr>
                <w:rFonts w:hint="eastAsia" w:ascii="宋体" w:hAnsi="宋体" w:cs="宋体"/>
                <w:color w:val="auto"/>
                <w:sz w:val="21"/>
                <w:szCs w:val="21"/>
                <w:highlight w:val="none"/>
                <w:lang w:val="en-US" w:eastAsia="zh-CN"/>
              </w:rPr>
              <w:t>详</w:t>
            </w:r>
            <w:r>
              <w:rPr>
                <w:rFonts w:hint="eastAsia" w:ascii="宋体" w:hAnsi="宋体" w:cs="宋体"/>
                <w:color w:val="auto"/>
                <w:sz w:val="21"/>
                <w:szCs w:val="21"/>
                <w:highlight w:val="none"/>
              </w:rPr>
              <w:t>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第一章</w:t>
            </w:r>
            <w:r>
              <w:rPr>
                <w:rFonts w:hint="eastAsia" w:ascii="宋体" w:hAnsi="宋体" w:cs="宋体"/>
                <w:color w:val="auto"/>
                <w:sz w:val="21"/>
                <w:szCs w:val="21"/>
                <w:highlight w:val="none"/>
                <w:lang w:val="en-US" w:eastAsia="zh-CN"/>
              </w:rPr>
              <w:t xml:space="preserve"> 谈判邀请函</w:t>
            </w:r>
            <w:r>
              <w:rPr>
                <w:rFonts w:hint="eastAsia" w:ascii="宋体" w:hAnsi="宋体" w:cs="宋体"/>
                <w:color w:val="auto"/>
                <w:sz w:val="21"/>
                <w:szCs w:val="21"/>
                <w:highlight w:val="none"/>
                <w:lang w:eastAsia="zh-CN"/>
              </w:rPr>
              <w:t>》</w:t>
            </w:r>
          </w:p>
          <w:p w14:paraId="4333AF63">
            <w:pPr>
              <w:keepNext w:val="0"/>
              <w:keepLines w:val="0"/>
              <w:suppressLineNumbers w:val="0"/>
              <w:spacing w:before="0" w:beforeAutospacing="0" w:after="0" w:afterAutospacing="0" w:line="360" w:lineRule="auto"/>
              <w:ind w:left="0" w:right="0" w:firstLine="0" w:firstLineChars="0"/>
              <w:jc w:val="left"/>
              <w:rPr>
                <w:rFonts w:hint="default" w:eastAsia="宋体"/>
                <w:color w:val="auto"/>
                <w:highlight w:val="none"/>
                <w:lang w:val="en-US" w:eastAsia="zh-CN"/>
              </w:rPr>
            </w:pPr>
            <w:r>
              <w:rPr>
                <w:rFonts w:hint="eastAsia" w:cs="宋体"/>
                <w:color w:val="auto"/>
                <w:sz w:val="21"/>
                <w:szCs w:val="21"/>
                <w:highlight w:val="none"/>
                <w:lang w:val="en-US" w:eastAsia="zh-CN"/>
              </w:rPr>
              <w:t>响应</w:t>
            </w:r>
            <w:r>
              <w:rPr>
                <w:rFonts w:hint="eastAsia" w:ascii="宋体" w:hAnsi="宋体" w:cs="宋体"/>
                <w:color w:val="auto"/>
                <w:sz w:val="21"/>
                <w:szCs w:val="21"/>
                <w:highlight w:val="none"/>
                <w:lang w:val="en-US" w:eastAsia="zh-CN"/>
              </w:rPr>
              <w:t>文件接收人：</w:t>
            </w:r>
            <w:r>
              <w:rPr>
                <w:rFonts w:hint="eastAsia"/>
                <w:color w:val="auto"/>
                <w:highlight w:val="none"/>
              </w:rPr>
              <w:t>联系人：</w:t>
            </w:r>
            <w:r>
              <w:rPr>
                <w:rFonts w:hint="eastAsia"/>
                <w:color w:val="auto"/>
                <w:highlight w:val="none"/>
                <w:lang w:val="en-US" w:eastAsia="zh-CN"/>
              </w:rPr>
              <w:t>卢先生</w:t>
            </w:r>
            <w:r>
              <w:rPr>
                <w:rFonts w:hint="eastAsia"/>
                <w:color w:val="auto"/>
                <w:highlight w:val="none"/>
              </w:rPr>
              <w:t xml:space="preserve">　　　电话： </w:t>
            </w:r>
            <w:r>
              <w:rPr>
                <w:rFonts w:hint="eastAsia"/>
                <w:color w:val="auto"/>
                <w:highlight w:val="none"/>
                <w:lang w:val="en-US" w:eastAsia="zh-CN"/>
              </w:rPr>
              <w:t>0316-5210300</w:t>
            </w:r>
          </w:p>
          <w:p w14:paraId="101ED4DC">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cs="宋体"/>
                <w:color w:val="auto"/>
                <w:sz w:val="21"/>
                <w:szCs w:val="21"/>
                <w:highlight w:val="none"/>
                <w:lang w:eastAsia="zh-CN"/>
              </w:rPr>
              <w:t>响应</w:t>
            </w:r>
            <w:r>
              <w:rPr>
                <w:rFonts w:hint="eastAsia" w:ascii="宋体" w:hAnsi="宋体" w:cs="宋体"/>
                <w:color w:val="auto"/>
                <w:sz w:val="21"/>
                <w:szCs w:val="21"/>
                <w:highlight w:val="none"/>
              </w:rPr>
              <w:t>文件递交截止时间：</w:t>
            </w:r>
            <w:r>
              <w:rPr>
                <w:rFonts w:hint="eastAsia" w:ascii="宋体" w:hAnsi="宋体" w:cs="宋体"/>
                <w:color w:val="auto"/>
                <w:sz w:val="21"/>
                <w:szCs w:val="21"/>
                <w:highlight w:val="none"/>
                <w:lang w:val="en-US" w:eastAsia="zh-CN"/>
              </w:rPr>
              <w:t>详</w:t>
            </w:r>
            <w:r>
              <w:rPr>
                <w:rFonts w:hint="eastAsia" w:ascii="宋体" w:hAnsi="宋体" w:cs="宋体"/>
                <w:color w:val="auto"/>
                <w:sz w:val="21"/>
                <w:szCs w:val="21"/>
                <w:highlight w:val="none"/>
              </w:rPr>
              <w:t>见</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第一章</w:t>
            </w:r>
            <w:r>
              <w:rPr>
                <w:rFonts w:hint="eastAsia" w:ascii="宋体" w:hAnsi="宋体" w:cs="宋体"/>
                <w:color w:val="auto"/>
                <w:sz w:val="21"/>
                <w:szCs w:val="21"/>
                <w:highlight w:val="none"/>
                <w:lang w:val="en-US" w:eastAsia="zh-CN"/>
              </w:rPr>
              <w:t xml:space="preserve"> 谈判邀请函</w:t>
            </w:r>
            <w:r>
              <w:rPr>
                <w:rFonts w:hint="eastAsia" w:ascii="宋体" w:hAnsi="宋体" w:cs="宋体"/>
                <w:color w:val="auto"/>
                <w:sz w:val="21"/>
                <w:szCs w:val="21"/>
                <w:highlight w:val="none"/>
                <w:lang w:eastAsia="zh-CN"/>
              </w:rPr>
              <w:t>》</w:t>
            </w:r>
          </w:p>
          <w:p w14:paraId="424712F8">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ascii="宋体" w:hAnsi="宋体" w:cs="宋体"/>
                <w:color w:val="auto"/>
                <w:sz w:val="21"/>
                <w:highlight w:val="none"/>
              </w:rPr>
              <w:t>在</w:t>
            </w:r>
            <w:r>
              <w:rPr>
                <w:rFonts w:hint="eastAsia" w:cs="宋体"/>
                <w:color w:val="auto"/>
                <w:sz w:val="21"/>
                <w:szCs w:val="21"/>
                <w:highlight w:val="none"/>
                <w:lang w:val="en-US" w:eastAsia="zh-CN"/>
              </w:rPr>
              <w:t>响应</w:t>
            </w:r>
            <w:r>
              <w:rPr>
                <w:rFonts w:hint="eastAsia" w:ascii="宋体" w:hAnsi="宋体" w:cs="宋体"/>
                <w:color w:val="auto"/>
                <w:sz w:val="21"/>
                <w:szCs w:val="21"/>
                <w:highlight w:val="none"/>
              </w:rPr>
              <w:t>文件递交</w:t>
            </w:r>
            <w:r>
              <w:rPr>
                <w:rFonts w:hint="eastAsia" w:cs="宋体"/>
                <w:color w:val="auto"/>
                <w:sz w:val="21"/>
                <w:szCs w:val="21"/>
                <w:highlight w:val="none"/>
                <w:lang w:val="en-US" w:eastAsia="zh-CN"/>
              </w:rPr>
              <w:t>截至</w:t>
            </w:r>
            <w:r>
              <w:rPr>
                <w:rFonts w:hint="eastAsia" w:ascii="宋体" w:hAnsi="宋体" w:cs="宋体"/>
                <w:color w:val="auto"/>
                <w:sz w:val="21"/>
                <w:highlight w:val="none"/>
              </w:rPr>
              <w:t>时间后递交的</w:t>
            </w:r>
            <w:r>
              <w:rPr>
                <w:rFonts w:hint="eastAsia" w:cs="宋体"/>
                <w:color w:val="auto"/>
                <w:sz w:val="21"/>
                <w:highlight w:val="none"/>
                <w:lang w:eastAsia="zh-CN"/>
              </w:rPr>
              <w:t>响应</w:t>
            </w:r>
            <w:r>
              <w:rPr>
                <w:rFonts w:hint="eastAsia" w:ascii="宋体" w:hAnsi="宋体" w:cs="宋体"/>
                <w:color w:val="auto"/>
                <w:sz w:val="21"/>
                <w:highlight w:val="none"/>
              </w:rPr>
              <w:t>文件，</w:t>
            </w:r>
            <w:r>
              <w:rPr>
                <w:rFonts w:hint="eastAsia" w:cs="宋体"/>
                <w:color w:val="auto"/>
                <w:sz w:val="21"/>
                <w:highlight w:val="none"/>
                <w:lang w:eastAsia="zh-CN"/>
              </w:rPr>
              <w:t>采购人</w:t>
            </w:r>
            <w:r>
              <w:rPr>
                <w:rFonts w:hint="eastAsia" w:ascii="宋体" w:hAnsi="宋体" w:cs="宋体"/>
                <w:color w:val="auto"/>
                <w:sz w:val="21"/>
                <w:highlight w:val="none"/>
              </w:rPr>
              <w:t>将不予接收。</w:t>
            </w:r>
          </w:p>
        </w:tc>
      </w:tr>
      <w:tr w14:paraId="41DF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57" w:type="dxa"/>
            <w:noWrap w:val="0"/>
            <w:tcMar>
              <w:top w:w="85" w:type="dxa"/>
              <w:left w:w="57" w:type="dxa"/>
              <w:bottom w:w="85" w:type="dxa"/>
              <w:right w:w="57" w:type="dxa"/>
            </w:tcMar>
            <w:vAlign w:val="center"/>
          </w:tcPr>
          <w:p w14:paraId="6784AA6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6</w:t>
            </w:r>
          </w:p>
        </w:tc>
        <w:tc>
          <w:tcPr>
            <w:tcW w:w="7986" w:type="dxa"/>
            <w:noWrap w:val="0"/>
            <w:tcMar>
              <w:top w:w="85" w:type="dxa"/>
              <w:left w:w="57" w:type="dxa"/>
              <w:bottom w:w="85" w:type="dxa"/>
              <w:right w:w="57" w:type="dxa"/>
            </w:tcMar>
            <w:vAlign w:val="center"/>
          </w:tcPr>
          <w:p w14:paraId="41FC3AE2">
            <w:pPr>
              <w:keepNext w:val="0"/>
              <w:keepLines w:val="0"/>
              <w:suppressLineNumbers w:val="0"/>
              <w:spacing w:before="0" w:beforeAutospacing="0" w:after="0" w:afterAutospacing="0" w:line="360" w:lineRule="auto"/>
              <w:ind w:left="0" w:right="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谈判</w:t>
            </w:r>
            <w:r>
              <w:rPr>
                <w:rFonts w:hint="eastAsia" w:cs="宋体"/>
                <w:color w:val="auto"/>
                <w:sz w:val="21"/>
                <w:szCs w:val="21"/>
                <w:highlight w:val="none"/>
                <w:lang w:val="en-US" w:eastAsia="zh-CN"/>
              </w:rPr>
              <w:t>供应商</w:t>
            </w:r>
            <w:r>
              <w:rPr>
                <w:rFonts w:hint="eastAsia" w:ascii="宋体" w:hAnsi="宋体" w:cs="宋体"/>
                <w:color w:val="auto"/>
                <w:sz w:val="21"/>
                <w:szCs w:val="21"/>
                <w:highlight w:val="none"/>
              </w:rPr>
              <w:t>须编制符合规定的</w:t>
            </w:r>
            <w:r>
              <w:rPr>
                <w:rFonts w:hint="eastAsia" w:cs="宋体"/>
                <w:color w:val="auto"/>
                <w:sz w:val="21"/>
                <w:szCs w:val="21"/>
                <w:highlight w:val="none"/>
                <w:lang w:val="en-US" w:eastAsia="zh-CN"/>
              </w:rPr>
              <w:t>响应</w:t>
            </w:r>
            <w:r>
              <w:rPr>
                <w:rFonts w:hint="eastAsia" w:ascii="宋体" w:hAnsi="宋体" w:cs="宋体"/>
                <w:color w:val="auto"/>
                <w:sz w:val="21"/>
                <w:szCs w:val="21"/>
                <w:highlight w:val="none"/>
              </w:rPr>
              <w:t>文件</w:t>
            </w:r>
            <w:r>
              <w:rPr>
                <w:rFonts w:hint="eastAsia" w:ascii="宋体" w:hAnsi="宋体" w:cs="宋体"/>
                <w:b/>
                <w:color w:val="auto"/>
                <w:sz w:val="21"/>
                <w:szCs w:val="21"/>
                <w:highlight w:val="none"/>
                <w:u w:val="single"/>
              </w:rPr>
              <w:t>正本壹份</w:t>
            </w:r>
            <w:r>
              <w:rPr>
                <w:rFonts w:hint="eastAsia" w:ascii="宋体" w:hAnsi="宋体" w:eastAsia="宋体" w:cs="宋体"/>
                <w:color w:val="auto"/>
                <w:sz w:val="21"/>
                <w:szCs w:val="21"/>
                <w:highlight w:val="none"/>
              </w:rPr>
              <w:t>。</w:t>
            </w:r>
          </w:p>
        </w:tc>
      </w:tr>
    </w:tbl>
    <w:p w14:paraId="7EC2BFFA">
      <w:pPr>
        <w:pStyle w:val="89"/>
        <w:rPr>
          <w:rFonts w:hint="eastAsia" w:asciiTheme="majorEastAsia" w:hAnsiTheme="majorEastAsia" w:eastAsiaTheme="majorEastAsia"/>
          <w:color w:val="auto"/>
          <w:sz w:val="28"/>
          <w:szCs w:val="21"/>
          <w:highlight w:val="none"/>
          <w:lang w:eastAsia="zh-CN"/>
        </w:rPr>
      </w:pPr>
    </w:p>
    <w:p w14:paraId="043383B7">
      <w:pPr>
        <w:pStyle w:val="89"/>
        <w:spacing w:before="0" w:after="0" w:line="240" w:lineRule="auto"/>
        <w:rPr>
          <w:rFonts w:asciiTheme="majorEastAsia" w:hAnsiTheme="majorEastAsia" w:eastAsiaTheme="majorEastAsia"/>
          <w:color w:val="auto"/>
          <w:sz w:val="28"/>
          <w:szCs w:val="21"/>
          <w:highlight w:val="none"/>
          <w:lang w:eastAsia="zh-CN"/>
        </w:rPr>
      </w:pPr>
      <w:r>
        <w:rPr>
          <w:rFonts w:hint="eastAsia" w:asciiTheme="majorEastAsia" w:hAnsiTheme="majorEastAsia" w:eastAsiaTheme="majorEastAsia"/>
          <w:color w:val="auto"/>
          <w:sz w:val="28"/>
          <w:szCs w:val="21"/>
          <w:highlight w:val="none"/>
          <w:lang w:eastAsia="zh-CN"/>
        </w:rPr>
        <w:t>谈判供应商须知前附表</w:t>
      </w:r>
      <w:r>
        <w:rPr>
          <w:rFonts w:hint="eastAsia" w:asciiTheme="majorEastAsia" w:hAnsiTheme="majorEastAsia" w:eastAsiaTheme="majorEastAsia"/>
          <w:color w:val="auto"/>
          <w:sz w:val="28"/>
          <w:szCs w:val="21"/>
          <w:highlight w:val="none"/>
          <w:lang w:val="en-US" w:eastAsia="zh-CN"/>
        </w:rPr>
        <w:t>2</w:t>
      </w:r>
      <w:r>
        <w:rPr>
          <w:rFonts w:hint="eastAsia" w:asciiTheme="majorEastAsia" w:hAnsiTheme="majorEastAsia" w:eastAsiaTheme="majorEastAsia"/>
          <w:color w:val="auto"/>
          <w:sz w:val="28"/>
          <w:szCs w:val="21"/>
          <w:highlight w:val="none"/>
          <w:lang w:eastAsia="zh-CN"/>
        </w:rPr>
        <w:t>：资格性、符合性检查表</w:t>
      </w:r>
    </w:p>
    <w:p w14:paraId="19E4FCA1">
      <w:pPr>
        <w:spacing w:line="360" w:lineRule="auto"/>
        <w:ind w:firstLine="420" w:firstLineChars="200"/>
        <w:jc w:val="left"/>
        <w:rPr>
          <w:rFonts w:hint="eastAsia"/>
          <w:bCs/>
          <w:color w:val="auto"/>
          <w:highlight w:val="none"/>
        </w:rPr>
      </w:pPr>
      <w:r>
        <w:rPr>
          <w:rFonts w:hint="eastAsia"/>
          <w:bCs/>
          <w:color w:val="auto"/>
          <w:highlight w:val="none"/>
        </w:rPr>
        <w:t>本须知前附表</w:t>
      </w:r>
      <w:r>
        <w:rPr>
          <w:rFonts w:hint="eastAsia"/>
          <w:bCs/>
          <w:color w:val="auto"/>
          <w:highlight w:val="none"/>
          <w:lang w:val="en-US" w:eastAsia="zh-CN"/>
        </w:rPr>
        <w:t>2</w:t>
      </w:r>
      <w:r>
        <w:rPr>
          <w:bCs/>
          <w:color w:val="auto"/>
          <w:highlight w:val="none"/>
        </w:rPr>
        <w:t>集中列示了</w:t>
      </w:r>
      <w:r>
        <w:rPr>
          <w:rFonts w:hint="eastAsia"/>
          <w:bCs/>
          <w:color w:val="auto"/>
          <w:highlight w:val="none"/>
        </w:rPr>
        <w:t>资格性、符合性检查的所有条款，其内容是谈判小组判断谈判供应商的报价是否有效的重要依据。</w:t>
      </w:r>
    </w:p>
    <w:p w14:paraId="033C9E0C">
      <w:pPr>
        <w:spacing w:line="360" w:lineRule="auto"/>
        <w:ind w:firstLine="480" w:firstLineChars="200"/>
        <w:jc w:val="left"/>
        <w:rPr>
          <w:highlight w:val="none"/>
        </w:rPr>
      </w:pPr>
      <w:r>
        <w:rPr>
          <w:rFonts w:ascii="宋体" w:hAnsi="宋体" w:eastAsia="宋体" w:cs="宋体"/>
          <w:kern w:val="0"/>
          <w:sz w:val="24"/>
          <w:highlight w:val="none"/>
        </w:rPr>
        <w:t>合同包</w:t>
      </w:r>
      <w:r>
        <w:rPr>
          <w:rStyle w:val="126"/>
          <w:rFonts w:ascii="宋体" w:hAnsi="宋体" w:eastAsia="宋体" w:cs="宋体"/>
          <w:kern w:val="0"/>
          <w:sz w:val="24"/>
          <w:highlight w:val="none"/>
        </w:rPr>
        <w:t>1</w:t>
      </w:r>
      <w:r>
        <w:rPr>
          <w:rFonts w:ascii="宋体" w:hAnsi="宋体" w:eastAsia="宋体" w:cs="宋体"/>
          <w:kern w:val="0"/>
          <w:sz w:val="24"/>
          <w:highlight w:val="none"/>
        </w:rPr>
        <w:t>资格要求：</w:t>
      </w:r>
    </w:p>
    <w:tbl>
      <w:tblPr>
        <w:tblStyle w:val="38"/>
        <w:tblpPr w:leftFromText="180" w:rightFromText="180" w:vertAnchor="text" w:horzAnchor="page" w:tblpX="1434" w:tblpY="535"/>
        <w:tblOverlap w:val="never"/>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79"/>
        <w:gridCol w:w="3100"/>
        <w:gridCol w:w="2345"/>
        <w:gridCol w:w="1610"/>
      </w:tblGrid>
      <w:tr w14:paraId="2506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22BD31B2">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序号</w:t>
            </w:r>
          </w:p>
        </w:tc>
        <w:tc>
          <w:tcPr>
            <w:tcW w:w="1479" w:type="dxa"/>
            <w:vAlign w:val="center"/>
          </w:tcPr>
          <w:p w14:paraId="4CC2B7BE">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项目</w:t>
            </w:r>
          </w:p>
        </w:tc>
        <w:tc>
          <w:tcPr>
            <w:tcW w:w="3100" w:type="dxa"/>
            <w:vAlign w:val="center"/>
          </w:tcPr>
          <w:p w14:paraId="7B5A76F8">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具体内容</w:t>
            </w:r>
          </w:p>
        </w:tc>
        <w:tc>
          <w:tcPr>
            <w:tcW w:w="2345" w:type="dxa"/>
            <w:vAlign w:val="center"/>
          </w:tcPr>
          <w:p w14:paraId="5565E258">
            <w:pPr>
              <w:keepNext w:val="0"/>
              <w:keepLines w:val="0"/>
              <w:suppressLineNumbers w:val="0"/>
              <w:spacing w:before="0" w:beforeAutospacing="0" w:after="0" w:afterAutospacing="0"/>
              <w:ind w:left="0" w:right="0"/>
              <w:jc w:val="center"/>
              <w:rPr>
                <w:rFonts w:hint="default" w:eastAsia="宋体"/>
                <w:b/>
                <w:color w:val="auto"/>
                <w:highlight w:val="none"/>
                <w:lang w:val="en-US" w:eastAsia="zh-CN"/>
              </w:rPr>
            </w:pPr>
            <w:r>
              <w:rPr>
                <w:rFonts w:hint="eastAsia"/>
                <w:b/>
                <w:color w:val="auto"/>
                <w:highlight w:val="none"/>
                <w:lang w:val="en-US" w:eastAsia="zh-CN"/>
              </w:rPr>
              <w:t>证明材料</w:t>
            </w:r>
          </w:p>
        </w:tc>
        <w:tc>
          <w:tcPr>
            <w:tcW w:w="1610" w:type="dxa"/>
            <w:vAlign w:val="center"/>
          </w:tcPr>
          <w:p w14:paraId="2EC1A223">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响应/偏离</w:t>
            </w:r>
          </w:p>
        </w:tc>
      </w:tr>
      <w:tr w14:paraId="2B08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0E44D176">
            <w:pPr>
              <w:keepNext w:val="0"/>
              <w:keepLines w:val="0"/>
              <w:suppressLineNumbers w:val="0"/>
              <w:spacing w:before="0" w:beforeAutospacing="0" w:after="0" w:afterAutospacing="0"/>
              <w:ind w:left="0" w:right="0"/>
              <w:jc w:val="center"/>
              <w:rPr>
                <w:rFonts w:hint="eastAsia"/>
                <w:color w:val="auto"/>
                <w:highlight w:val="none"/>
              </w:rPr>
            </w:pPr>
            <w:r>
              <w:rPr>
                <w:rFonts w:hint="eastAsia"/>
                <w:color w:val="auto"/>
                <w:highlight w:val="none"/>
              </w:rPr>
              <w:t>1</w:t>
            </w:r>
          </w:p>
        </w:tc>
        <w:tc>
          <w:tcPr>
            <w:tcW w:w="1479" w:type="dxa"/>
            <w:vMerge w:val="restart"/>
            <w:vAlign w:val="center"/>
          </w:tcPr>
          <w:p w14:paraId="3C2B4B4B">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资格性条件</w:t>
            </w:r>
          </w:p>
        </w:tc>
        <w:tc>
          <w:tcPr>
            <w:tcW w:w="3100" w:type="dxa"/>
            <w:vAlign w:val="center"/>
          </w:tcPr>
          <w:p w14:paraId="3721457D">
            <w:pPr>
              <w:keepNext w:val="0"/>
              <w:keepLines w:val="0"/>
              <w:suppressLineNumbers w:val="0"/>
              <w:spacing w:before="0" w:beforeAutospacing="0" w:after="0" w:afterAutospacing="0"/>
              <w:ind w:left="0" w:right="0"/>
              <w:jc w:val="both"/>
              <w:rPr>
                <w:rFonts w:hint="default" w:asciiTheme="minorHAnsi" w:hAnsiTheme="minorHAnsi" w:eastAsiaTheme="minorEastAsia" w:cstheme="minorBidi"/>
                <w:color w:val="auto"/>
                <w:kern w:val="2"/>
                <w:sz w:val="21"/>
                <w:szCs w:val="24"/>
                <w:highlight w:val="none"/>
                <w:lang w:val="en-US" w:eastAsia="zh-CN" w:bidi="ar-SA"/>
              </w:rPr>
            </w:pPr>
            <w:r>
              <w:rPr>
                <w:rFonts w:hint="default"/>
                <w:color w:val="auto"/>
                <w:highlight w:val="none"/>
              </w:rPr>
              <w:t>具有法人资格或者具有独立承担民事责任的能力</w:t>
            </w:r>
          </w:p>
        </w:tc>
        <w:tc>
          <w:tcPr>
            <w:tcW w:w="2345" w:type="dxa"/>
            <w:vAlign w:val="center"/>
          </w:tcPr>
          <w:p w14:paraId="670FE1C2">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eastAsia="宋体"/>
                <w:color w:val="auto"/>
                <w:highlight w:val="none"/>
              </w:rPr>
              <w:t>提供有效的营业执照复印件</w:t>
            </w:r>
          </w:p>
        </w:tc>
        <w:tc>
          <w:tcPr>
            <w:tcW w:w="1610" w:type="dxa"/>
            <w:vAlign w:val="center"/>
          </w:tcPr>
          <w:p w14:paraId="06FEAF1C">
            <w:pPr>
              <w:keepNext w:val="0"/>
              <w:keepLines w:val="0"/>
              <w:suppressLineNumbers w:val="0"/>
              <w:spacing w:before="0" w:beforeAutospacing="0" w:after="0" w:afterAutospacing="0"/>
              <w:ind w:left="0" w:right="0"/>
              <w:jc w:val="both"/>
              <w:rPr>
                <w:rFonts w:hint="default"/>
                <w:color w:val="auto"/>
                <w:highlight w:val="none"/>
              </w:rPr>
            </w:pPr>
          </w:p>
        </w:tc>
      </w:tr>
      <w:tr w14:paraId="511F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4B79F040">
            <w:pPr>
              <w:keepNext w:val="0"/>
              <w:keepLines w:val="0"/>
              <w:suppressLineNumbers w:val="0"/>
              <w:spacing w:before="0" w:beforeAutospacing="0" w:after="0" w:afterAutospacing="0"/>
              <w:ind w:left="0" w:right="0"/>
              <w:jc w:val="center"/>
              <w:rPr>
                <w:rFonts w:hint="eastAsia" w:eastAsiaTheme="minorEastAsia"/>
                <w:color w:val="auto"/>
                <w:highlight w:val="none"/>
                <w:lang w:val="en-US" w:eastAsia="zh-CN"/>
              </w:rPr>
            </w:pPr>
            <w:r>
              <w:rPr>
                <w:rFonts w:hint="eastAsia"/>
                <w:color w:val="auto"/>
                <w:highlight w:val="none"/>
                <w:lang w:val="en-US" w:eastAsia="zh-CN"/>
              </w:rPr>
              <w:t>2</w:t>
            </w:r>
          </w:p>
        </w:tc>
        <w:tc>
          <w:tcPr>
            <w:tcW w:w="1479" w:type="dxa"/>
            <w:vMerge w:val="continue"/>
            <w:vAlign w:val="center"/>
          </w:tcPr>
          <w:p w14:paraId="23B964C1">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20DFF83F">
            <w:pPr>
              <w:keepNext w:val="0"/>
              <w:keepLines w:val="0"/>
              <w:suppressLineNumbers w:val="0"/>
              <w:spacing w:before="0" w:beforeAutospacing="0" w:after="0" w:afterAutospacing="0"/>
              <w:ind w:left="0" w:right="0"/>
              <w:jc w:val="both"/>
              <w:rPr>
                <w:rFonts w:hint="default"/>
                <w:color w:val="auto"/>
                <w:highlight w:val="none"/>
              </w:rPr>
            </w:pPr>
            <w:r>
              <w:rPr>
                <w:rFonts w:hint="eastAsia"/>
                <w:color w:val="auto"/>
                <w:highlight w:val="none"/>
                <w:lang w:val="en-US" w:eastAsia="zh-CN"/>
              </w:rPr>
              <w:t>未被工商行政管理机关在全国企业信用信息公示系统中列入严重违法失信企业名单</w:t>
            </w:r>
          </w:p>
        </w:tc>
        <w:tc>
          <w:tcPr>
            <w:tcW w:w="2345" w:type="dxa"/>
            <w:vMerge w:val="restart"/>
            <w:vAlign w:val="center"/>
          </w:tcPr>
          <w:p w14:paraId="2411CC3C">
            <w:pPr>
              <w:keepNext w:val="0"/>
              <w:keepLines w:val="0"/>
              <w:suppressLineNumbers w:val="0"/>
              <w:spacing w:before="0" w:beforeAutospacing="0" w:after="0" w:afterAutospacing="0"/>
              <w:ind w:left="0" w:right="0"/>
              <w:jc w:val="both"/>
              <w:rPr>
                <w:rFonts w:hint="default"/>
                <w:color w:val="auto"/>
                <w:highlight w:val="none"/>
                <w:lang w:val="en-US"/>
              </w:rPr>
            </w:pPr>
            <w:r>
              <w:rPr>
                <w:rFonts w:hint="eastAsia" w:ascii="宋体" w:hAnsi="宋体" w:eastAsia="宋体" w:cs="Arial"/>
                <w:bCs/>
                <w:color w:val="auto"/>
                <w:kern w:val="2"/>
                <w:sz w:val="21"/>
                <w:szCs w:val="21"/>
                <w:highlight w:val="none"/>
                <w:lang w:val="en-US" w:eastAsia="zh-CN" w:bidi="ar-SA"/>
              </w:rPr>
              <w:t>以</w:t>
            </w:r>
            <w:r>
              <w:rPr>
                <w:rFonts w:hint="eastAsia" w:cs="Arial"/>
                <w:bCs/>
                <w:color w:val="auto"/>
                <w:kern w:val="2"/>
                <w:sz w:val="21"/>
                <w:szCs w:val="21"/>
                <w:highlight w:val="none"/>
                <w:lang w:val="en-US" w:eastAsia="zh-CN" w:bidi="ar-SA"/>
              </w:rPr>
              <w:t>评审</w:t>
            </w:r>
            <w:r>
              <w:rPr>
                <w:rFonts w:hint="eastAsia" w:ascii="宋体" w:hAnsi="宋体" w:eastAsia="宋体" w:cs="Arial"/>
                <w:bCs/>
                <w:color w:val="auto"/>
                <w:kern w:val="2"/>
                <w:sz w:val="21"/>
                <w:szCs w:val="21"/>
                <w:highlight w:val="none"/>
                <w:lang w:val="en-US" w:eastAsia="zh-CN" w:bidi="ar-SA"/>
              </w:rPr>
              <w:t>当日在全国企业信用信息公示系统、信用中国网站查询结果为准，</w:t>
            </w:r>
            <w:r>
              <w:rPr>
                <w:rFonts w:hint="eastAsia" w:cs="Arial"/>
                <w:bCs/>
                <w:color w:val="auto"/>
                <w:kern w:val="2"/>
                <w:sz w:val="21"/>
                <w:szCs w:val="21"/>
                <w:highlight w:val="none"/>
                <w:lang w:val="en-US" w:eastAsia="zh-CN" w:bidi="ar-SA"/>
              </w:rPr>
              <w:t>供应商响应</w:t>
            </w:r>
            <w:r>
              <w:rPr>
                <w:rFonts w:hint="eastAsia" w:ascii="宋体" w:hAnsi="宋体" w:eastAsia="宋体" w:cs="Arial"/>
                <w:bCs/>
                <w:color w:val="auto"/>
                <w:kern w:val="2"/>
                <w:sz w:val="21"/>
                <w:szCs w:val="21"/>
                <w:highlight w:val="none"/>
                <w:lang w:val="en-US" w:eastAsia="zh-CN" w:bidi="ar-SA"/>
              </w:rPr>
              <w:t xml:space="preserve">时无须提供相关证明 </w:t>
            </w:r>
          </w:p>
        </w:tc>
        <w:tc>
          <w:tcPr>
            <w:tcW w:w="1610" w:type="dxa"/>
            <w:vAlign w:val="center"/>
          </w:tcPr>
          <w:p w14:paraId="0C9BF5A8">
            <w:pPr>
              <w:keepNext w:val="0"/>
              <w:keepLines w:val="0"/>
              <w:suppressLineNumbers w:val="0"/>
              <w:spacing w:before="0" w:beforeAutospacing="0" w:after="0" w:afterAutospacing="0"/>
              <w:ind w:left="0" w:right="0"/>
              <w:jc w:val="both"/>
              <w:rPr>
                <w:rFonts w:hint="default"/>
                <w:color w:val="auto"/>
                <w:highlight w:val="none"/>
              </w:rPr>
            </w:pPr>
          </w:p>
        </w:tc>
      </w:tr>
      <w:tr w14:paraId="3345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16C72C75">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3</w:t>
            </w:r>
          </w:p>
        </w:tc>
        <w:tc>
          <w:tcPr>
            <w:tcW w:w="1479" w:type="dxa"/>
            <w:vMerge w:val="continue"/>
            <w:vAlign w:val="center"/>
          </w:tcPr>
          <w:p w14:paraId="6F300F79">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0D6F0560">
            <w:pPr>
              <w:keepNext w:val="0"/>
              <w:keepLines w:val="0"/>
              <w:suppressLineNumbers w:val="0"/>
              <w:spacing w:before="0" w:beforeAutospacing="0" w:after="0" w:afterAutospacing="0"/>
              <w:ind w:left="0" w:right="0"/>
              <w:jc w:val="left"/>
              <w:rPr>
                <w:rFonts w:hint="eastAsia"/>
                <w:color w:val="auto"/>
                <w:highlight w:val="none"/>
                <w:lang w:val="en-US" w:eastAsia="zh-CN"/>
              </w:rPr>
            </w:pPr>
            <w:r>
              <w:rPr>
                <w:rFonts w:hint="eastAsia"/>
                <w:color w:val="auto"/>
                <w:highlight w:val="none"/>
                <w:lang w:val="en-US" w:eastAsia="zh-CN"/>
              </w:rPr>
              <w:t>未被最高人民法院在“信用中国”网站（www.creditchina.gov.cn）或各级信用信息共享平台中列入失信被执行人名单</w:t>
            </w:r>
          </w:p>
        </w:tc>
        <w:tc>
          <w:tcPr>
            <w:tcW w:w="2345" w:type="dxa"/>
            <w:vMerge w:val="continue"/>
            <w:vAlign w:val="center"/>
          </w:tcPr>
          <w:p w14:paraId="35C2F37B">
            <w:pPr>
              <w:keepNext w:val="0"/>
              <w:keepLines w:val="0"/>
              <w:suppressLineNumbers w:val="0"/>
              <w:spacing w:before="0" w:beforeAutospacing="0" w:after="0" w:afterAutospacing="0"/>
              <w:ind w:left="0" w:right="0"/>
              <w:jc w:val="both"/>
              <w:rPr>
                <w:rFonts w:hint="eastAsia"/>
                <w:color w:val="auto"/>
                <w:highlight w:val="none"/>
              </w:rPr>
            </w:pPr>
          </w:p>
        </w:tc>
        <w:tc>
          <w:tcPr>
            <w:tcW w:w="1610" w:type="dxa"/>
            <w:vAlign w:val="center"/>
          </w:tcPr>
          <w:p w14:paraId="37FE3A74">
            <w:pPr>
              <w:keepNext w:val="0"/>
              <w:keepLines w:val="0"/>
              <w:suppressLineNumbers w:val="0"/>
              <w:spacing w:before="0" w:beforeAutospacing="0" w:after="0" w:afterAutospacing="0"/>
              <w:ind w:left="0" w:right="0"/>
              <w:jc w:val="both"/>
              <w:rPr>
                <w:rFonts w:hint="default"/>
                <w:color w:val="auto"/>
                <w:highlight w:val="none"/>
              </w:rPr>
            </w:pPr>
          </w:p>
        </w:tc>
      </w:tr>
      <w:tr w14:paraId="2258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0C9062DF">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4</w:t>
            </w:r>
          </w:p>
        </w:tc>
        <w:tc>
          <w:tcPr>
            <w:tcW w:w="1479" w:type="dxa"/>
            <w:vMerge w:val="continue"/>
            <w:vAlign w:val="center"/>
          </w:tcPr>
          <w:p w14:paraId="54BC488C">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4B326479">
            <w:pPr>
              <w:keepNext w:val="0"/>
              <w:keepLines w:val="0"/>
              <w:suppressLineNumbers w:val="0"/>
              <w:spacing w:before="0" w:beforeAutospacing="0" w:after="0" w:afterAutospacing="0"/>
              <w:ind w:left="0" w:right="0"/>
              <w:jc w:val="both"/>
              <w:rPr>
                <w:rFonts w:hint="eastAsia"/>
                <w:color w:val="auto"/>
                <w:highlight w:val="none"/>
                <w:lang w:val="en-US" w:eastAsia="zh-CN"/>
              </w:rPr>
            </w:pPr>
            <w:r>
              <w:rPr>
                <w:rFonts w:hint="eastAsia"/>
                <w:color w:val="auto"/>
                <w:highlight w:val="none"/>
                <w:lang w:val="en-US" w:eastAsia="zh-CN"/>
              </w:rPr>
              <w:t>未被列入采购人《供应商黑名单》或被采购人处罚不得参与采购项目</w:t>
            </w:r>
          </w:p>
        </w:tc>
        <w:tc>
          <w:tcPr>
            <w:tcW w:w="2345" w:type="dxa"/>
            <w:vAlign w:val="center"/>
          </w:tcPr>
          <w:p w14:paraId="686C823E">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610" w:type="dxa"/>
            <w:vAlign w:val="center"/>
          </w:tcPr>
          <w:p w14:paraId="104832A4">
            <w:pPr>
              <w:keepNext w:val="0"/>
              <w:keepLines w:val="0"/>
              <w:suppressLineNumbers w:val="0"/>
              <w:spacing w:before="0" w:beforeAutospacing="0" w:after="0" w:afterAutospacing="0"/>
              <w:ind w:left="0" w:right="0"/>
              <w:jc w:val="both"/>
              <w:rPr>
                <w:rFonts w:hint="default"/>
                <w:color w:val="auto"/>
                <w:highlight w:val="none"/>
              </w:rPr>
            </w:pPr>
          </w:p>
        </w:tc>
      </w:tr>
      <w:tr w14:paraId="1A0A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2C612B54">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5</w:t>
            </w:r>
          </w:p>
        </w:tc>
        <w:tc>
          <w:tcPr>
            <w:tcW w:w="1479" w:type="dxa"/>
            <w:vMerge w:val="continue"/>
            <w:vAlign w:val="center"/>
          </w:tcPr>
          <w:p w14:paraId="67629856">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209FD781">
            <w:pPr>
              <w:keepNext w:val="0"/>
              <w:keepLines w:val="0"/>
              <w:suppressLineNumbers w:val="0"/>
              <w:spacing w:before="0" w:beforeAutospacing="0" w:after="0" w:afterAutospacing="0"/>
              <w:ind w:left="0" w:right="0"/>
              <w:jc w:val="both"/>
              <w:rPr>
                <w:rFonts w:hint="eastAsia"/>
                <w:bCs/>
                <w:color w:val="auto"/>
                <w:highlight w:val="none"/>
                <w:lang w:val="en-US" w:eastAsia="zh-CN"/>
              </w:rPr>
            </w:pPr>
            <w:r>
              <w:rPr>
                <w:rFonts w:hint="default"/>
                <w:color w:val="auto"/>
                <w:highlight w:val="none"/>
              </w:rPr>
              <w:t>提供正规的增值税专用发票</w:t>
            </w:r>
          </w:p>
        </w:tc>
        <w:tc>
          <w:tcPr>
            <w:tcW w:w="2345" w:type="dxa"/>
            <w:vAlign w:val="center"/>
          </w:tcPr>
          <w:p w14:paraId="087405C8">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承诺函</w:t>
            </w:r>
          </w:p>
        </w:tc>
        <w:tc>
          <w:tcPr>
            <w:tcW w:w="1610" w:type="dxa"/>
            <w:vAlign w:val="center"/>
          </w:tcPr>
          <w:p w14:paraId="7A66CF1D">
            <w:pPr>
              <w:keepNext w:val="0"/>
              <w:keepLines w:val="0"/>
              <w:suppressLineNumbers w:val="0"/>
              <w:spacing w:before="0" w:beforeAutospacing="0" w:after="0" w:afterAutospacing="0"/>
              <w:ind w:left="0" w:right="0"/>
              <w:jc w:val="both"/>
              <w:rPr>
                <w:rFonts w:hint="default"/>
                <w:color w:val="auto"/>
                <w:highlight w:val="none"/>
              </w:rPr>
            </w:pPr>
          </w:p>
        </w:tc>
      </w:tr>
      <w:tr w14:paraId="1AF6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187C8C99">
            <w:pPr>
              <w:keepNext w:val="0"/>
              <w:keepLines w:val="0"/>
              <w:suppressLineNumbers w:val="0"/>
              <w:spacing w:before="0" w:beforeAutospacing="0" w:after="0" w:afterAutospacing="0"/>
              <w:ind w:left="0" w:right="0"/>
              <w:jc w:val="center"/>
              <w:rPr>
                <w:rFonts w:hint="eastAsia" w:eastAsia="宋体"/>
                <w:color w:val="auto"/>
                <w:highlight w:val="none"/>
                <w:lang w:eastAsia="zh-CN"/>
              </w:rPr>
            </w:pPr>
            <w:r>
              <w:rPr>
                <w:rFonts w:hint="eastAsia"/>
                <w:color w:val="auto"/>
                <w:highlight w:val="none"/>
                <w:lang w:val="en-US" w:eastAsia="zh-CN"/>
              </w:rPr>
              <w:t>6</w:t>
            </w:r>
          </w:p>
        </w:tc>
        <w:tc>
          <w:tcPr>
            <w:tcW w:w="1479" w:type="dxa"/>
            <w:vMerge w:val="continue"/>
            <w:vAlign w:val="center"/>
          </w:tcPr>
          <w:p w14:paraId="68422BA7">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4EE44099">
            <w:pPr>
              <w:keepNext w:val="0"/>
              <w:keepLines w:val="0"/>
              <w:suppressLineNumbers w:val="0"/>
              <w:spacing w:before="0" w:beforeAutospacing="0" w:after="0" w:afterAutospacing="0"/>
              <w:ind w:left="0" w:right="0"/>
              <w:jc w:val="both"/>
              <w:rPr>
                <w:rFonts w:hint="default" w:eastAsiaTheme="minorEastAsia"/>
                <w:color w:val="auto"/>
                <w:highlight w:val="none"/>
                <w:lang w:val="en-US" w:eastAsia="zh-CN"/>
              </w:rPr>
            </w:pPr>
            <w:r>
              <w:rPr>
                <w:rFonts w:hint="eastAsia"/>
                <w:color w:val="auto"/>
                <w:highlight w:val="none"/>
                <w:lang w:val="en-US" w:eastAsia="zh-CN"/>
              </w:rPr>
              <w:t>持有《成品油零售经营批准证书》、《危险化学品经营许可证》</w:t>
            </w:r>
          </w:p>
        </w:tc>
        <w:tc>
          <w:tcPr>
            <w:tcW w:w="2345" w:type="dxa"/>
            <w:vAlign w:val="center"/>
          </w:tcPr>
          <w:p w14:paraId="77C217D9">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相关证书复印件</w:t>
            </w:r>
          </w:p>
        </w:tc>
        <w:tc>
          <w:tcPr>
            <w:tcW w:w="1610" w:type="dxa"/>
            <w:vAlign w:val="center"/>
          </w:tcPr>
          <w:p w14:paraId="4007EDBA">
            <w:pPr>
              <w:keepNext w:val="0"/>
              <w:keepLines w:val="0"/>
              <w:suppressLineNumbers w:val="0"/>
              <w:spacing w:before="0" w:beforeAutospacing="0" w:after="0" w:afterAutospacing="0"/>
              <w:ind w:left="0" w:right="0"/>
              <w:jc w:val="both"/>
              <w:rPr>
                <w:rFonts w:hint="default"/>
                <w:color w:val="auto"/>
                <w:highlight w:val="none"/>
              </w:rPr>
            </w:pPr>
          </w:p>
        </w:tc>
      </w:tr>
      <w:tr w14:paraId="2676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5D80DB48">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7</w:t>
            </w:r>
          </w:p>
        </w:tc>
        <w:tc>
          <w:tcPr>
            <w:tcW w:w="1479" w:type="dxa"/>
            <w:vAlign w:val="center"/>
          </w:tcPr>
          <w:p w14:paraId="19E5D5B3">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符合性条件</w:t>
            </w:r>
          </w:p>
        </w:tc>
        <w:tc>
          <w:tcPr>
            <w:tcW w:w="3100" w:type="dxa"/>
            <w:vAlign w:val="center"/>
          </w:tcPr>
          <w:p w14:paraId="6F9D059A">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rPr>
              <w:t>响应文件保持完整、密封</w:t>
            </w:r>
          </w:p>
        </w:tc>
        <w:tc>
          <w:tcPr>
            <w:tcW w:w="2345" w:type="dxa"/>
            <w:vAlign w:val="center"/>
          </w:tcPr>
          <w:p w14:paraId="78B467E4">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lang w:val="en-US" w:eastAsia="zh-CN"/>
              </w:rPr>
              <w:t>密封响应文件</w:t>
            </w:r>
          </w:p>
        </w:tc>
        <w:tc>
          <w:tcPr>
            <w:tcW w:w="1610" w:type="dxa"/>
            <w:vAlign w:val="center"/>
          </w:tcPr>
          <w:p w14:paraId="516194A6">
            <w:pPr>
              <w:keepNext w:val="0"/>
              <w:keepLines w:val="0"/>
              <w:suppressLineNumbers w:val="0"/>
              <w:spacing w:before="0" w:beforeAutospacing="0" w:after="0" w:afterAutospacing="0"/>
              <w:ind w:left="0" w:right="0"/>
              <w:jc w:val="both"/>
              <w:rPr>
                <w:rFonts w:hint="default"/>
                <w:color w:val="auto"/>
                <w:highlight w:val="none"/>
              </w:rPr>
            </w:pPr>
          </w:p>
        </w:tc>
      </w:tr>
    </w:tbl>
    <w:p w14:paraId="1D9F1E1C">
      <w:pPr>
        <w:spacing w:line="360" w:lineRule="auto"/>
        <w:ind w:firstLine="480" w:firstLineChars="200"/>
        <w:jc w:val="left"/>
        <w:rPr>
          <w:rFonts w:ascii="宋体" w:hAnsi="宋体" w:eastAsia="宋体" w:cs="宋体"/>
          <w:kern w:val="0"/>
          <w:sz w:val="24"/>
          <w:highlight w:val="none"/>
        </w:rPr>
      </w:pPr>
    </w:p>
    <w:p w14:paraId="0BC3A1B0">
      <w:pPr>
        <w:spacing w:line="360" w:lineRule="auto"/>
        <w:ind w:firstLine="480" w:firstLineChars="200"/>
        <w:jc w:val="left"/>
        <w:rPr>
          <w:highlight w:val="none"/>
        </w:rPr>
      </w:pPr>
      <w:r>
        <w:rPr>
          <w:rFonts w:ascii="宋体" w:hAnsi="宋体" w:eastAsia="宋体" w:cs="宋体"/>
          <w:kern w:val="0"/>
          <w:sz w:val="24"/>
          <w:highlight w:val="none"/>
        </w:rPr>
        <w:t>合同包</w:t>
      </w:r>
      <w:r>
        <w:rPr>
          <w:rStyle w:val="126"/>
          <w:rFonts w:hint="eastAsia" w:cs="宋体"/>
          <w:kern w:val="0"/>
          <w:sz w:val="24"/>
          <w:highlight w:val="none"/>
          <w:lang w:val="en-US" w:eastAsia="zh-CN"/>
        </w:rPr>
        <w:t>2</w:t>
      </w:r>
      <w:r>
        <w:rPr>
          <w:rFonts w:ascii="宋体" w:hAnsi="宋体" w:eastAsia="宋体" w:cs="宋体"/>
          <w:kern w:val="0"/>
          <w:sz w:val="24"/>
          <w:highlight w:val="none"/>
        </w:rPr>
        <w:t>资格要求：</w:t>
      </w:r>
    </w:p>
    <w:tbl>
      <w:tblPr>
        <w:tblStyle w:val="38"/>
        <w:tblpPr w:leftFromText="180" w:rightFromText="180" w:vertAnchor="text" w:horzAnchor="page" w:tblpX="1422" w:tblpY="470"/>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479"/>
        <w:gridCol w:w="3100"/>
        <w:gridCol w:w="2345"/>
        <w:gridCol w:w="1641"/>
      </w:tblGrid>
      <w:tr w14:paraId="1D1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357E76AA">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序号</w:t>
            </w:r>
          </w:p>
        </w:tc>
        <w:tc>
          <w:tcPr>
            <w:tcW w:w="1479" w:type="dxa"/>
            <w:vAlign w:val="center"/>
          </w:tcPr>
          <w:p w14:paraId="278B2403">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项目</w:t>
            </w:r>
          </w:p>
        </w:tc>
        <w:tc>
          <w:tcPr>
            <w:tcW w:w="3100" w:type="dxa"/>
            <w:vAlign w:val="center"/>
          </w:tcPr>
          <w:p w14:paraId="4AC07CFE">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具体内容</w:t>
            </w:r>
          </w:p>
        </w:tc>
        <w:tc>
          <w:tcPr>
            <w:tcW w:w="2345" w:type="dxa"/>
            <w:vAlign w:val="center"/>
          </w:tcPr>
          <w:p w14:paraId="16025332">
            <w:pPr>
              <w:keepNext w:val="0"/>
              <w:keepLines w:val="0"/>
              <w:suppressLineNumbers w:val="0"/>
              <w:spacing w:before="0" w:beforeAutospacing="0" w:after="0" w:afterAutospacing="0"/>
              <w:ind w:left="0" w:right="0"/>
              <w:jc w:val="center"/>
              <w:rPr>
                <w:rFonts w:hint="default" w:eastAsia="宋体"/>
                <w:b/>
                <w:color w:val="auto"/>
                <w:highlight w:val="none"/>
                <w:lang w:val="en-US" w:eastAsia="zh-CN"/>
              </w:rPr>
            </w:pPr>
            <w:r>
              <w:rPr>
                <w:rFonts w:hint="eastAsia"/>
                <w:b/>
                <w:color w:val="auto"/>
                <w:highlight w:val="none"/>
                <w:lang w:val="en-US" w:eastAsia="zh-CN"/>
              </w:rPr>
              <w:t>证明材料</w:t>
            </w:r>
          </w:p>
        </w:tc>
        <w:tc>
          <w:tcPr>
            <w:tcW w:w="1641" w:type="dxa"/>
            <w:vAlign w:val="center"/>
          </w:tcPr>
          <w:p w14:paraId="2E4D7709">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响应/偏离</w:t>
            </w:r>
          </w:p>
        </w:tc>
      </w:tr>
      <w:tr w14:paraId="733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43A7FA5D">
            <w:pPr>
              <w:keepNext w:val="0"/>
              <w:keepLines w:val="0"/>
              <w:suppressLineNumbers w:val="0"/>
              <w:spacing w:before="0" w:beforeAutospacing="0" w:after="0" w:afterAutospacing="0"/>
              <w:ind w:left="0" w:right="0"/>
              <w:jc w:val="center"/>
              <w:rPr>
                <w:rFonts w:hint="eastAsia"/>
                <w:color w:val="auto"/>
                <w:highlight w:val="none"/>
              </w:rPr>
            </w:pPr>
            <w:r>
              <w:rPr>
                <w:rFonts w:hint="eastAsia"/>
                <w:color w:val="auto"/>
                <w:highlight w:val="none"/>
              </w:rPr>
              <w:t>1</w:t>
            </w:r>
          </w:p>
        </w:tc>
        <w:tc>
          <w:tcPr>
            <w:tcW w:w="1479" w:type="dxa"/>
            <w:vMerge w:val="restart"/>
            <w:vAlign w:val="center"/>
          </w:tcPr>
          <w:p w14:paraId="7875271E">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资格性条件</w:t>
            </w:r>
          </w:p>
        </w:tc>
        <w:tc>
          <w:tcPr>
            <w:tcW w:w="3100" w:type="dxa"/>
            <w:vAlign w:val="center"/>
          </w:tcPr>
          <w:p w14:paraId="7E89949C">
            <w:pPr>
              <w:keepNext w:val="0"/>
              <w:keepLines w:val="0"/>
              <w:suppressLineNumbers w:val="0"/>
              <w:spacing w:before="0" w:beforeAutospacing="0" w:after="0" w:afterAutospacing="0"/>
              <w:ind w:left="0" w:right="0"/>
              <w:jc w:val="both"/>
              <w:rPr>
                <w:rFonts w:hint="default" w:asciiTheme="minorHAnsi" w:hAnsiTheme="minorHAnsi" w:eastAsiaTheme="minorEastAsia" w:cstheme="minorBidi"/>
                <w:color w:val="auto"/>
                <w:kern w:val="2"/>
                <w:sz w:val="21"/>
                <w:szCs w:val="24"/>
                <w:highlight w:val="none"/>
                <w:lang w:val="en-US" w:eastAsia="zh-CN" w:bidi="ar-SA"/>
              </w:rPr>
            </w:pPr>
            <w:r>
              <w:rPr>
                <w:rFonts w:hint="default"/>
                <w:color w:val="auto"/>
                <w:highlight w:val="none"/>
              </w:rPr>
              <w:t>具有法人资格或者具有独立承担民事责任的能力</w:t>
            </w:r>
          </w:p>
        </w:tc>
        <w:tc>
          <w:tcPr>
            <w:tcW w:w="2345" w:type="dxa"/>
            <w:vAlign w:val="center"/>
          </w:tcPr>
          <w:p w14:paraId="396BAE86">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eastAsia="宋体"/>
                <w:color w:val="auto"/>
                <w:highlight w:val="none"/>
              </w:rPr>
              <w:t>提供有效的营业执照复印件</w:t>
            </w:r>
          </w:p>
        </w:tc>
        <w:tc>
          <w:tcPr>
            <w:tcW w:w="1641" w:type="dxa"/>
            <w:vAlign w:val="center"/>
          </w:tcPr>
          <w:p w14:paraId="4A5A436A">
            <w:pPr>
              <w:keepNext w:val="0"/>
              <w:keepLines w:val="0"/>
              <w:suppressLineNumbers w:val="0"/>
              <w:spacing w:before="0" w:beforeAutospacing="0" w:after="0" w:afterAutospacing="0"/>
              <w:ind w:left="0" w:right="0"/>
              <w:jc w:val="both"/>
              <w:rPr>
                <w:rFonts w:hint="default"/>
                <w:color w:val="auto"/>
                <w:highlight w:val="none"/>
              </w:rPr>
            </w:pPr>
          </w:p>
        </w:tc>
      </w:tr>
      <w:tr w14:paraId="7EDD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24F0B936">
            <w:pPr>
              <w:keepNext w:val="0"/>
              <w:keepLines w:val="0"/>
              <w:suppressLineNumbers w:val="0"/>
              <w:spacing w:before="0" w:beforeAutospacing="0" w:after="0" w:afterAutospacing="0"/>
              <w:ind w:left="0" w:right="0"/>
              <w:jc w:val="center"/>
              <w:rPr>
                <w:rFonts w:hint="eastAsia" w:eastAsiaTheme="minorEastAsia"/>
                <w:color w:val="auto"/>
                <w:highlight w:val="none"/>
                <w:lang w:val="en-US" w:eastAsia="zh-CN"/>
              </w:rPr>
            </w:pPr>
            <w:r>
              <w:rPr>
                <w:rFonts w:hint="eastAsia"/>
                <w:color w:val="auto"/>
                <w:highlight w:val="none"/>
                <w:lang w:val="en-US" w:eastAsia="zh-CN"/>
              </w:rPr>
              <w:t>2</w:t>
            </w:r>
          </w:p>
        </w:tc>
        <w:tc>
          <w:tcPr>
            <w:tcW w:w="1479" w:type="dxa"/>
            <w:vMerge w:val="continue"/>
            <w:vAlign w:val="center"/>
          </w:tcPr>
          <w:p w14:paraId="1D5B1758">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524B2A82">
            <w:pPr>
              <w:keepNext w:val="0"/>
              <w:keepLines w:val="0"/>
              <w:suppressLineNumbers w:val="0"/>
              <w:spacing w:before="0" w:beforeAutospacing="0" w:after="0" w:afterAutospacing="0"/>
              <w:ind w:left="0" w:right="0"/>
              <w:jc w:val="both"/>
              <w:rPr>
                <w:rFonts w:hint="default"/>
                <w:color w:val="auto"/>
                <w:highlight w:val="none"/>
              </w:rPr>
            </w:pPr>
            <w:r>
              <w:rPr>
                <w:rFonts w:hint="eastAsia"/>
                <w:color w:val="auto"/>
                <w:highlight w:val="none"/>
                <w:lang w:val="en-US" w:eastAsia="zh-CN"/>
              </w:rPr>
              <w:t>未被工商行政管理机关在全国企业信用信息公示系统中列入严重违法失信企业名单</w:t>
            </w:r>
          </w:p>
        </w:tc>
        <w:tc>
          <w:tcPr>
            <w:tcW w:w="2345" w:type="dxa"/>
            <w:vMerge w:val="restart"/>
            <w:vAlign w:val="center"/>
          </w:tcPr>
          <w:p w14:paraId="6253E883">
            <w:pPr>
              <w:keepNext w:val="0"/>
              <w:keepLines w:val="0"/>
              <w:suppressLineNumbers w:val="0"/>
              <w:spacing w:before="0" w:beforeAutospacing="0" w:after="0" w:afterAutospacing="0"/>
              <w:ind w:left="0" w:right="0"/>
              <w:jc w:val="both"/>
              <w:rPr>
                <w:rFonts w:hint="default"/>
                <w:color w:val="auto"/>
                <w:highlight w:val="none"/>
                <w:lang w:val="en-US"/>
              </w:rPr>
            </w:pPr>
            <w:r>
              <w:rPr>
                <w:rFonts w:hint="eastAsia" w:ascii="宋体" w:hAnsi="宋体" w:eastAsia="宋体" w:cs="Arial"/>
                <w:bCs/>
                <w:color w:val="auto"/>
                <w:kern w:val="2"/>
                <w:sz w:val="21"/>
                <w:szCs w:val="21"/>
                <w:highlight w:val="none"/>
                <w:lang w:val="en-US" w:eastAsia="zh-CN" w:bidi="ar-SA"/>
              </w:rPr>
              <w:t>以</w:t>
            </w:r>
            <w:r>
              <w:rPr>
                <w:rFonts w:hint="eastAsia" w:cs="Arial"/>
                <w:bCs/>
                <w:color w:val="auto"/>
                <w:kern w:val="2"/>
                <w:sz w:val="21"/>
                <w:szCs w:val="21"/>
                <w:highlight w:val="none"/>
                <w:lang w:val="en-US" w:eastAsia="zh-CN" w:bidi="ar-SA"/>
              </w:rPr>
              <w:t>评审</w:t>
            </w:r>
            <w:r>
              <w:rPr>
                <w:rFonts w:hint="eastAsia" w:ascii="宋体" w:hAnsi="宋体" w:eastAsia="宋体" w:cs="Arial"/>
                <w:bCs/>
                <w:color w:val="auto"/>
                <w:kern w:val="2"/>
                <w:sz w:val="21"/>
                <w:szCs w:val="21"/>
                <w:highlight w:val="none"/>
                <w:lang w:val="en-US" w:eastAsia="zh-CN" w:bidi="ar-SA"/>
              </w:rPr>
              <w:t>当日在全国企业信用信息公示系统、信用中国网站查询结果为准，</w:t>
            </w:r>
            <w:r>
              <w:rPr>
                <w:rFonts w:hint="eastAsia" w:cs="Arial"/>
                <w:bCs/>
                <w:color w:val="auto"/>
                <w:kern w:val="2"/>
                <w:sz w:val="21"/>
                <w:szCs w:val="21"/>
                <w:highlight w:val="none"/>
                <w:lang w:val="en-US" w:eastAsia="zh-CN" w:bidi="ar-SA"/>
              </w:rPr>
              <w:t>供应商响应</w:t>
            </w:r>
            <w:r>
              <w:rPr>
                <w:rFonts w:hint="eastAsia" w:ascii="宋体" w:hAnsi="宋体" w:eastAsia="宋体" w:cs="Arial"/>
                <w:bCs/>
                <w:color w:val="auto"/>
                <w:kern w:val="2"/>
                <w:sz w:val="21"/>
                <w:szCs w:val="21"/>
                <w:highlight w:val="none"/>
                <w:lang w:val="en-US" w:eastAsia="zh-CN" w:bidi="ar-SA"/>
              </w:rPr>
              <w:t xml:space="preserve">时无须提供相关证明 </w:t>
            </w:r>
          </w:p>
        </w:tc>
        <w:tc>
          <w:tcPr>
            <w:tcW w:w="1641" w:type="dxa"/>
            <w:vAlign w:val="center"/>
          </w:tcPr>
          <w:p w14:paraId="7E9B86D8">
            <w:pPr>
              <w:keepNext w:val="0"/>
              <w:keepLines w:val="0"/>
              <w:suppressLineNumbers w:val="0"/>
              <w:spacing w:before="0" w:beforeAutospacing="0" w:after="0" w:afterAutospacing="0"/>
              <w:ind w:left="0" w:right="0"/>
              <w:jc w:val="both"/>
              <w:rPr>
                <w:rFonts w:hint="default"/>
                <w:color w:val="auto"/>
                <w:highlight w:val="none"/>
              </w:rPr>
            </w:pPr>
          </w:p>
        </w:tc>
      </w:tr>
      <w:tr w14:paraId="196B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7ED2C5FE">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3</w:t>
            </w:r>
          </w:p>
        </w:tc>
        <w:tc>
          <w:tcPr>
            <w:tcW w:w="1479" w:type="dxa"/>
            <w:vMerge w:val="continue"/>
            <w:vAlign w:val="center"/>
          </w:tcPr>
          <w:p w14:paraId="239C57C6">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52EFCBD8">
            <w:pPr>
              <w:keepNext w:val="0"/>
              <w:keepLines w:val="0"/>
              <w:suppressLineNumbers w:val="0"/>
              <w:spacing w:before="0" w:beforeAutospacing="0" w:after="0" w:afterAutospacing="0"/>
              <w:ind w:left="0" w:right="0"/>
              <w:jc w:val="left"/>
              <w:rPr>
                <w:rFonts w:hint="eastAsia"/>
                <w:color w:val="auto"/>
                <w:highlight w:val="none"/>
                <w:lang w:val="en-US" w:eastAsia="zh-CN"/>
              </w:rPr>
            </w:pPr>
            <w:r>
              <w:rPr>
                <w:rFonts w:hint="eastAsia"/>
                <w:color w:val="auto"/>
                <w:highlight w:val="none"/>
                <w:lang w:val="en-US" w:eastAsia="zh-CN"/>
              </w:rPr>
              <w:t>未被最高人民法院在“信用中国”网站（www.creditchina.gov.cn）或各级信用信息共享平台中列入失信被执行人名单</w:t>
            </w:r>
          </w:p>
        </w:tc>
        <w:tc>
          <w:tcPr>
            <w:tcW w:w="2345" w:type="dxa"/>
            <w:vMerge w:val="continue"/>
            <w:vAlign w:val="center"/>
          </w:tcPr>
          <w:p w14:paraId="2BF64A57">
            <w:pPr>
              <w:keepNext w:val="0"/>
              <w:keepLines w:val="0"/>
              <w:suppressLineNumbers w:val="0"/>
              <w:spacing w:before="0" w:beforeAutospacing="0" w:after="0" w:afterAutospacing="0"/>
              <w:ind w:left="0" w:right="0"/>
              <w:jc w:val="both"/>
              <w:rPr>
                <w:rFonts w:hint="eastAsia"/>
                <w:color w:val="auto"/>
                <w:highlight w:val="none"/>
              </w:rPr>
            </w:pPr>
          </w:p>
        </w:tc>
        <w:tc>
          <w:tcPr>
            <w:tcW w:w="1641" w:type="dxa"/>
            <w:vAlign w:val="center"/>
          </w:tcPr>
          <w:p w14:paraId="06C5C535">
            <w:pPr>
              <w:keepNext w:val="0"/>
              <w:keepLines w:val="0"/>
              <w:suppressLineNumbers w:val="0"/>
              <w:spacing w:before="0" w:beforeAutospacing="0" w:after="0" w:afterAutospacing="0"/>
              <w:ind w:left="0" w:right="0"/>
              <w:jc w:val="both"/>
              <w:rPr>
                <w:rFonts w:hint="default"/>
                <w:color w:val="auto"/>
                <w:highlight w:val="none"/>
              </w:rPr>
            </w:pPr>
          </w:p>
        </w:tc>
      </w:tr>
      <w:tr w14:paraId="2077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2DDE2D97">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4</w:t>
            </w:r>
          </w:p>
        </w:tc>
        <w:tc>
          <w:tcPr>
            <w:tcW w:w="1479" w:type="dxa"/>
            <w:vMerge w:val="continue"/>
            <w:vAlign w:val="center"/>
          </w:tcPr>
          <w:p w14:paraId="4B1112DE">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4EC0243F">
            <w:pPr>
              <w:keepNext w:val="0"/>
              <w:keepLines w:val="0"/>
              <w:suppressLineNumbers w:val="0"/>
              <w:spacing w:before="0" w:beforeAutospacing="0" w:after="0" w:afterAutospacing="0"/>
              <w:ind w:left="0" w:right="0"/>
              <w:jc w:val="both"/>
              <w:rPr>
                <w:rFonts w:hint="eastAsia"/>
                <w:color w:val="auto"/>
                <w:highlight w:val="none"/>
                <w:lang w:val="en-US" w:eastAsia="zh-CN"/>
              </w:rPr>
            </w:pPr>
            <w:r>
              <w:rPr>
                <w:rFonts w:hint="eastAsia"/>
                <w:color w:val="auto"/>
                <w:highlight w:val="none"/>
                <w:lang w:val="en-US" w:eastAsia="zh-CN"/>
              </w:rPr>
              <w:t>未被列入采购人《供应商黑名单》或被采购人处罚不得参与采购项目</w:t>
            </w:r>
          </w:p>
        </w:tc>
        <w:tc>
          <w:tcPr>
            <w:tcW w:w="2345" w:type="dxa"/>
            <w:vAlign w:val="center"/>
          </w:tcPr>
          <w:p w14:paraId="3A880CC0">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641" w:type="dxa"/>
            <w:vAlign w:val="center"/>
          </w:tcPr>
          <w:p w14:paraId="0E490F49">
            <w:pPr>
              <w:keepNext w:val="0"/>
              <w:keepLines w:val="0"/>
              <w:suppressLineNumbers w:val="0"/>
              <w:spacing w:before="0" w:beforeAutospacing="0" w:after="0" w:afterAutospacing="0"/>
              <w:ind w:left="0" w:right="0"/>
              <w:jc w:val="both"/>
              <w:rPr>
                <w:rFonts w:hint="default"/>
                <w:color w:val="auto"/>
                <w:highlight w:val="none"/>
              </w:rPr>
            </w:pPr>
          </w:p>
        </w:tc>
      </w:tr>
      <w:tr w14:paraId="693B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765" w:type="dxa"/>
            <w:vAlign w:val="center"/>
          </w:tcPr>
          <w:p w14:paraId="1D838741">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5</w:t>
            </w:r>
          </w:p>
        </w:tc>
        <w:tc>
          <w:tcPr>
            <w:tcW w:w="1479" w:type="dxa"/>
            <w:vMerge w:val="continue"/>
            <w:vAlign w:val="center"/>
          </w:tcPr>
          <w:p w14:paraId="587FEFAA">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6D804AEF">
            <w:pPr>
              <w:keepNext w:val="0"/>
              <w:keepLines w:val="0"/>
              <w:suppressLineNumbers w:val="0"/>
              <w:spacing w:before="0" w:beforeAutospacing="0" w:after="0" w:afterAutospacing="0"/>
              <w:ind w:left="0" w:right="0"/>
              <w:jc w:val="both"/>
              <w:rPr>
                <w:rFonts w:hint="eastAsia"/>
                <w:bCs/>
                <w:color w:val="auto"/>
                <w:highlight w:val="none"/>
                <w:lang w:val="en-US" w:eastAsia="zh-CN"/>
              </w:rPr>
            </w:pPr>
            <w:r>
              <w:rPr>
                <w:rFonts w:hint="default"/>
                <w:color w:val="auto"/>
                <w:highlight w:val="none"/>
              </w:rPr>
              <w:t>提供正规的增值税专用发票</w:t>
            </w:r>
          </w:p>
        </w:tc>
        <w:tc>
          <w:tcPr>
            <w:tcW w:w="2345" w:type="dxa"/>
            <w:vAlign w:val="center"/>
          </w:tcPr>
          <w:p w14:paraId="2B4E2213">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承诺函</w:t>
            </w:r>
          </w:p>
        </w:tc>
        <w:tc>
          <w:tcPr>
            <w:tcW w:w="1641" w:type="dxa"/>
            <w:vAlign w:val="center"/>
          </w:tcPr>
          <w:p w14:paraId="7CEB2BBB">
            <w:pPr>
              <w:keepNext w:val="0"/>
              <w:keepLines w:val="0"/>
              <w:suppressLineNumbers w:val="0"/>
              <w:spacing w:before="0" w:beforeAutospacing="0" w:after="0" w:afterAutospacing="0"/>
              <w:ind w:left="0" w:right="0"/>
              <w:jc w:val="both"/>
              <w:rPr>
                <w:rFonts w:hint="default"/>
                <w:color w:val="auto"/>
                <w:highlight w:val="none"/>
              </w:rPr>
            </w:pPr>
          </w:p>
        </w:tc>
      </w:tr>
      <w:tr w14:paraId="7CE5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7B7E6FB2">
            <w:pPr>
              <w:keepNext w:val="0"/>
              <w:keepLines w:val="0"/>
              <w:suppressLineNumbers w:val="0"/>
              <w:spacing w:before="0" w:beforeAutospacing="0" w:after="0" w:afterAutospacing="0"/>
              <w:ind w:left="0" w:right="0"/>
              <w:jc w:val="center"/>
              <w:rPr>
                <w:rFonts w:hint="eastAsia" w:eastAsia="宋体"/>
                <w:color w:val="auto"/>
                <w:highlight w:val="none"/>
                <w:lang w:eastAsia="zh-CN"/>
              </w:rPr>
            </w:pPr>
            <w:r>
              <w:rPr>
                <w:rFonts w:hint="eastAsia"/>
                <w:color w:val="auto"/>
                <w:highlight w:val="none"/>
                <w:lang w:val="en-US" w:eastAsia="zh-CN"/>
              </w:rPr>
              <w:t>6</w:t>
            </w:r>
          </w:p>
        </w:tc>
        <w:tc>
          <w:tcPr>
            <w:tcW w:w="1479" w:type="dxa"/>
            <w:vMerge w:val="continue"/>
            <w:vAlign w:val="center"/>
          </w:tcPr>
          <w:p w14:paraId="680BF9D1">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5C0AAFDC">
            <w:pPr>
              <w:keepNext w:val="0"/>
              <w:keepLines w:val="0"/>
              <w:suppressLineNumbers w:val="0"/>
              <w:spacing w:before="0" w:beforeAutospacing="0" w:after="0" w:afterAutospacing="0"/>
              <w:ind w:left="0" w:right="0"/>
              <w:jc w:val="both"/>
              <w:rPr>
                <w:rFonts w:hint="default" w:eastAsiaTheme="minorEastAsia"/>
                <w:color w:val="auto"/>
                <w:highlight w:val="none"/>
                <w:lang w:val="en-US" w:eastAsia="zh-CN"/>
              </w:rPr>
            </w:pPr>
            <w:r>
              <w:rPr>
                <w:rFonts w:hint="eastAsia"/>
                <w:color w:val="auto"/>
                <w:highlight w:val="none"/>
                <w:lang w:val="en-US" w:eastAsia="zh-CN"/>
              </w:rPr>
              <w:t>持有《成品油零售经营批准证书》、《危险化学品经营许可证》</w:t>
            </w:r>
          </w:p>
        </w:tc>
        <w:tc>
          <w:tcPr>
            <w:tcW w:w="2345" w:type="dxa"/>
            <w:vAlign w:val="center"/>
          </w:tcPr>
          <w:p w14:paraId="6D3CC215">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相关证书复印件</w:t>
            </w:r>
          </w:p>
        </w:tc>
        <w:tc>
          <w:tcPr>
            <w:tcW w:w="1641" w:type="dxa"/>
            <w:vAlign w:val="center"/>
          </w:tcPr>
          <w:p w14:paraId="39C05D16">
            <w:pPr>
              <w:keepNext w:val="0"/>
              <w:keepLines w:val="0"/>
              <w:suppressLineNumbers w:val="0"/>
              <w:spacing w:before="0" w:beforeAutospacing="0" w:after="0" w:afterAutospacing="0"/>
              <w:ind w:left="0" w:right="0"/>
              <w:jc w:val="both"/>
              <w:rPr>
                <w:rFonts w:hint="default"/>
                <w:color w:val="auto"/>
                <w:highlight w:val="none"/>
              </w:rPr>
            </w:pPr>
          </w:p>
        </w:tc>
      </w:tr>
      <w:tr w14:paraId="512D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5" w:type="dxa"/>
            <w:vAlign w:val="center"/>
          </w:tcPr>
          <w:p w14:paraId="6C866D5B">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7</w:t>
            </w:r>
          </w:p>
        </w:tc>
        <w:tc>
          <w:tcPr>
            <w:tcW w:w="1479" w:type="dxa"/>
            <w:vAlign w:val="center"/>
          </w:tcPr>
          <w:p w14:paraId="445BCD84">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符合性条件</w:t>
            </w:r>
          </w:p>
        </w:tc>
        <w:tc>
          <w:tcPr>
            <w:tcW w:w="3100" w:type="dxa"/>
            <w:vAlign w:val="center"/>
          </w:tcPr>
          <w:p w14:paraId="16A583F1">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rPr>
              <w:t>响应文件保持完整、密封</w:t>
            </w:r>
          </w:p>
        </w:tc>
        <w:tc>
          <w:tcPr>
            <w:tcW w:w="2345" w:type="dxa"/>
            <w:vAlign w:val="center"/>
          </w:tcPr>
          <w:p w14:paraId="51236AD5">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lang w:val="en-US" w:eastAsia="zh-CN"/>
              </w:rPr>
              <w:t>密封响应文件</w:t>
            </w:r>
          </w:p>
        </w:tc>
        <w:tc>
          <w:tcPr>
            <w:tcW w:w="1641" w:type="dxa"/>
            <w:vAlign w:val="center"/>
          </w:tcPr>
          <w:p w14:paraId="29DD1E4C">
            <w:pPr>
              <w:keepNext w:val="0"/>
              <w:keepLines w:val="0"/>
              <w:suppressLineNumbers w:val="0"/>
              <w:spacing w:before="0" w:beforeAutospacing="0" w:after="0" w:afterAutospacing="0"/>
              <w:ind w:left="0" w:right="0"/>
              <w:jc w:val="both"/>
              <w:rPr>
                <w:rFonts w:hint="default"/>
                <w:color w:val="auto"/>
                <w:highlight w:val="none"/>
              </w:rPr>
            </w:pPr>
          </w:p>
        </w:tc>
      </w:tr>
    </w:tbl>
    <w:p w14:paraId="7D21CF4D">
      <w:pPr>
        <w:pStyle w:val="89"/>
        <w:rPr>
          <w:rFonts w:asciiTheme="majorEastAsia" w:hAnsiTheme="majorEastAsia" w:eastAsiaTheme="majorEastAsia"/>
          <w:color w:val="auto"/>
          <w:sz w:val="28"/>
          <w:szCs w:val="21"/>
          <w:highlight w:val="none"/>
          <w:lang w:eastAsia="zh-CN"/>
        </w:rPr>
      </w:pPr>
    </w:p>
    <w:p w14:paraId="393EF678">
      <w:pPr>
        <w:pStyle w:val="89"/>
        <w:rPr>
          <w:rFonts w:asciiTheme="majorEastAsia" w:hAnsiTheme="majorEastAsia" w:eastAsiaTheme="majorEastAsia"/>
          <w:color w:val="auto"/>
          <w:sz w:val="28"/>
          <w:szCs w:val="21"/>
          <w:highlight w:val="none"/>
          <w:lang w:eastAsia="zh-CN"/>
        </w:rPr>
      </w:pPr>
    </w:p>
    <w:p w14:paraId="3ED21C2F">
      <w:pPr>
        <w:pStyle w:val="89"/>
        <w:rPr>
          <w:rFonts w:asciiTheme="majorEastAsia" w:hAnsiTheme="majorEastAsia" w:eastAsiaTheme="majorEastAsia"/>
          <w:color w:val="auto"/>
          <w:sz w:val="28"/>
          <w:szCs w:val="21"/>
          <w:highlight w:val="none"/>
          <w:lang w:eastAsia="zh-CN"/>
        </w:rPr>
      </w:pPr>
    </w:p>
    <w:p w14:paraId="6CC98628">
      <w:pPr>
        <w:pStyle w:val="89"/>
        <w:spacing w:before="480"/>
        <w:rPr>
          <w:rFonts w:asciiTheme="majorEastAsia" w:hAnsiTheme="majorEastAsia" w:eastAsiaTheme="majorEastAsia"/>
          <w:color w:val="auto"/>
          <w:sz w:val="28"/>
          <w:szCs w:val="21"/>
          <w:highlight w:val="none"/>
          <w:lang w:eastAsia="zh-CN"/>
        </w:rPr>
      </w:pPr>
      <w:r>
        <w:rPr>
          <w:rFonts w:hint="eastAsia" w:asciiTheme="majorEastAsia" w:hAnsiTheme="majorEastAsia" w:eastAsiaTheme="majorEastAsia"/>
          <w:color w:val="auto"/>
          <w:sz w:val="28"/>
          <w:szCs w:val="21"/>
          <w:highlight w:val="none"/>
          <w:lang w:eastAsia="zh-CN"/>
        </w:rPr>
        <w:t>谈判供应商须知前附表</w:t>
      </w:r>
      <w:r>
        <w:rPr>
          <w:rFonts w:hint="eastAsia" w:asciiTheme="majorEastAsia" w:hAnsiTheme="majorEastAsia" w:eastAsiaTheme="majorEastAsia"/>
          <w:color w:val="auto"/>
          <w:sz w:val="28"/>
          <w:szCs w:val="21"/>
          <w:highlight w:val="none"/>
          <w:lang w:val="en-US" w:eastAsia="zh-CN"/>
        </w:rPr>
        <w:t>3</w:t>
      </w:r>
      <w:r>
        <w:rPr>
          <w:rFonts w:hint="eastAsia" w:asciiTheme="majorEastAsia" w:hAnsiTheme="majorEastAsia" w:eastAsiaTheme="majorEastAsia"/>
          <w:color w:val="auto"/>
          <w:sz w:val="28"/>
          <w:szCs w:val="21"/>
          <w:highlight w:val="none"/>
          <w:lang w:eastAsia="zh-CN"/>
        </w:rPr>
        <w:t>：评审方法、评审标准、定标原则</w:t>
      </w:r>
    </w:p>
    <w:tbl>
      <w:tblPr>
        <w:tblStyle w:val="37"/>
        <w:tblpPr w:leftFromText="180" w:rightFromText="180" w:vertAnchor="text" w:horzAnchor="margin" w:tblpXSpec="center" w:tblpY="2"/>
        <w:tblW w:w="9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8"/>
      </w:tblGrid>
      <w:tr w14:paraId="30DE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048" w:type="dxa"/>
            <w:tcBorders>
              <w:top w:val="single" w:color="auto" w:sz="4" w:space="0"/>
              <w:left w:val="single" w:color="auto" w:sz="4" w:space="0"/>
              <w:bottom w:val="single" w:color="auto" w:sz="4" w:space="0"/>
              <w:right w:val="single" w:color="auto" w:sz="4" w:space="0"/>
            </w:tcBorders>
            <w:vAlign w:val="center"/>
          </w:tcPr>
          <w:p w14:paraId="2106055C">
            <w:pPr>
              <w:keepNext w:val="0"/>
              <w:keepLines w:val="0"/>
              <w:suppressLineNumbers w:val="0"/>
              <w:spacing w:before="0" w:beforeAutospacing="0" w:after="0" w:afterAutospacing="0"/>
              <w:ind w:left="0" w:right="0"/>
              <w:jc w:val="left"/>
              <w:rPr>
                <w:rFonts w:hint="default"/>
                <w:b/>
                <w:color w:val="auto"/>
                <w:highlight w:val="none"/>
              </w:rPr>
            </w:pPr>
            <w:r>
              <w:rPr>
                <w:rFonts w:hint="eastAsia"/>
                <w:b/>
                <w:color w:val="auto"/>
                <w:highlight w:val="none"/>
              </w:rPr>
              <w:t>一、评审方法：</w:t>
            </w:r>
            <w:r>
              <w:rPr>
                <w:rFonts w:hint="eastAsia"/>
                <w:color w:val="auto"/>
                <w:highlight w:val="none"/>
              </w:rPr>
              <w:t>综合评分法</w:t>
            </w:r>
          </w:p>
        </w:tc>
      </w:tr>
      <w:tr w14:paraId="30A3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048" w:type="dxa"/>
            <w:tcBorders>
              <w:top w:val="single" w:color="auto" w:sz="4" w:space="0"/>
              <w:left w:val="single" w:color="auto" w:sz="4" w:space="0"/>
              <w:bottom w:val="single" w:color="auto" w:sz="4" w:space="0"/>
              <w:right w:val="single" w:color="auto" w:sz="4" w:space="0"/>
            </w:tcBorders>
            <w:vAlign w:val="center"/>
          </w:tcPr>
          <w:p w14:paraId="48CD0B29">
            <w:pPr>
              <w:keepNext w:val="0"/>
              <w:keepLines w:val="0"/>
              <w:numPr>
                <w:ilvl w:val="0"/>
                <w:numId w:val="3"/>
              </w:numPr>
              <w:suppressLineNumbers w:val="0"/>
              <w:spacing w:before="0" w:beforeAutospacing="0" w:after="0" w:afterAutospacing="0" w:line="360" w:lineRule="auto"/>
              <w:ind w:left="0" w:right="0"/>
              <w:jc w:val="left"/>
              <w:rPr>
                <w:rFonts w:hint="eastAsia"/>
                <w:b/>
                <w:color w:val="auto"/>
                <w:highlight w:val="none"/>
              </w:rPr>
            </w:pPr>
            <w:r>
              <w:rPr>
                <w:rFonts w:hint="eastAsia"/>
                <w:b/>
                <w:color w:val="auto"/>
                <w:highlight w:val="none"/>
              </w:rPr>
              <w:t>评审标准：</w:t>
            </w:r>
          </w:p>
          <w:p w14:paraId="07A0B148">
            <w:pPr>
              <w:pStyle w:val="119"/>
              <w:keepNext w:val="0"/>
              <w:keepLines w:val="0"/>
              <w:numPr>
                <w:ilvl w:val="0"/>
                <w:numId w:val="4"/>
              </w:numPr>
              <w:suppressLineNumbers w:val="0"/>
              <w:spacing w:before="0" w:beforeAutospacing="0" w:after="0" w:afterAutospacing="0" w:line="360" w:lineRule="auto"/>
              <w:ind w:right="0" w:firstLineChars="0"/>
              <w:jc w:val="left"/>
              <w:rPr>
                <w:rFonts w:hint="eastAsia" w:cs="宋体"/>
                <w:b/>
                <w:bCs w:val="0"/>
                <w:color w:val="auto"/>
                <w:highlight w:val="none"/>
              </w:rPr>
            </w:pPr>
            <w:r>
              <w:rPr>
                <w:rFonts w:hint="eastAsia"/>
                <w:color w:val="auto"/>
                <w:highlight w:val="none"/>
              </w:rPr>
              <w:t>具体的评审标准。</w:t>
            </w:r>
          </w:p>
          <w:p w14:paraId="44E25228">
            <w:pPr>
              <w:keepNext w:val="0"/>
              <w:keepLines w:val="0"/>
              <w:numPr>
                <w:ilvl w:val="-1"/>
                <w:numId w:val="0"/>
              </w:numPr>
              <w:suppressLineNumbers w:val="0"/>
              <w:spacing w:before="0" w:beforeAutospacing="0" w:after="0" w:afterAutospacing="0" w:line="360" w:lineRule="auto"/>
              <w:ind w:left="0" w:right="0" w:firstLine="422" w:firstLineChars="200"/>
              <w:jc w:val="left"/>
              <w:rPr>
                <w:rFonts w:hint="default"/>
                <w:color w:val="auto"/>
                <w:highlight w:val="none"/>
              </w:rPr>
            </w:pPr>
            <w:r>
              <w:rPr>
                <w:rFonts w:hint="eastAsia"/>
                <w:b/>
                <w:bCs w:val="0"/>
                <w:color w:val="auto"/>
                <w:highlight w:val="none"/>
              </w:rPr>
              <w:t>综合评分法</w:t>
            </w:r>
            <w:r>
              <w:rPr>
                <w:rFonts w:hint="eastAsia"/>
                <w:b/>
                <w:bCs w:val="0"/>
                <w:color w:val="auto"/>
                <w:highlight w:val="none"/>
                <w:lang w:eastAsia="zh-CN"/>
              </w:rPr>
              <w:t>：</w:t>
            </w:r>
            <w:r>
              <w:rPr>
                <w:rFonts w:hint="eastAsia"/>
                <w:color w:val="auto"/>
                <w:highlight w:val="none"/>
              </w:rPr>
              <w:t>首先按照谈判程序的规定，对各谈判供应商的资格性以及符合性做出评审，只有资格性检查和符合性检查合格的响应文件才能进入综合评分。谈判小组依据评分标准以及各权重项，就每个合格谈判供应商的响应文件及相应情况进行综合比较和评价，统计每个通过审核的谈判供应商的技术、商务和价格得分。</w:t>
            </w:r>
          </w:p>
          <w:p w14:paraId="10EBBB23">
            <w:pPr>
              <w:pStyle w:val="119"/>
              <w:keepNext w:val="0"/>
              <w:keepLines w:val="0"/>
              <w:numPr>
                <w:ilvl w:val="0"/>
                <w:numId w:val="5"/>
              </w:numPr>
              <w:suppressLineNumbers w:val="0"/>
              <w:spacing w:before="0" w:beforeAutospacing="0" w:after="0" w:afterAutospacing="0" w:line="360" w:lineRule="auto"/>
              <w:ind w:left="0" w:right="0" w:firstLine="426" w:firstLineChars="0"/>
              <w:jc w:val="left"/>
              <w:rPr>
                <w:rFonts w:hint="default"/>
                <w:b/>
                <w:color w:val="auto"/>
                <w:highlight w:val="none"/>
              </w:rPr>
            </w:pPr>
            <w:r>
              <w:rPr>
                <w:rFonts w:hint="eastAsia"/>
                <w:color w:val="auto"/>
                <w:highlight w:val="none"/>
              </w:rPr>
              <w:t>通过资格性检查和符合性检查审核，对作出实质性响应的供应商依照以下标准和权重进行评分：</w:t>
            </w:r>
          </w:p>
          <w:p w14:paraId="225B6AAA">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tbl>
            <w:tblPr>
              <w:tblStyle w:val="37"/>
              <w:tblpPr w:leftFromText="180" w:rightFromText="180" w:vertAnchor="text" w:horzAnchor="page" w:tblpX="54" w:tblpY="37"/>
              <w:tblOverlap w:val="never"/>
              <w:tblW w:w="9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870"/>
              <w:gridCol w:w="1065"/>
              <w:gridCol w:w="738"/>
              <w:gridCol w:w="3343"/>
              <w:gridCol w:w="2957"/>
            </w:tblGrid>
            <w:tr w14:paraId="1BE9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268E4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1935" w:type="dxa"/>
                  <w:gridSpan w:val="2"/>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11C2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评分项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1A8BD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分值权重</w:t>
                  </w:r>
                </w:p>
              </w:tc>
              <w:tc>
                <w:tcPr>
                  <w:tcW w:w="3343" w:type="dxa"/>
                  <w:vMerge w:val="restart"/>
                  <w:tcBorders>
                    <w:top w:val="single" w:color="000000" w:sz="4" w:space="0"/>
                    <w:left w:val="single" w:color="000000" w:sz="4" w:space="0"/>
                    <w:bottom w:val="single" w:color="000000" w:sz="4" w:space="0"/>
                    <w:right w:val="single" w:color="auto" w:sz="4" w:space="0"/>
                  </w:tcBorders>
                  <w:shd w:val="clear" w:color="auto" w:fill="A9D08E"/>
                  <w:noWrap/>
                  <w:vAlign w:val="center"/>
                </w:tcPr>
                <w:p w14:paraId="383F6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评分标准</w:t>
                  </w:r>
                </w:p>
              </w:tc>
              <w:tc>
                <w:tcPr>
                  <w:tcW w:w="2957" w:type="dxa"/>
                  <w:vMerge w:val="restart"/>
                  <w:tcBorders>
                    <w:top w:val="single" w:color="000000" w:sz="4" w:space="0"/>
                    <w:left w:val="single" w:color="auto" w:sz="4" w:space="0"/>
                    <w:bottom w:val="single" w:color="000000" w:sz="4" w:space="0"/>
                    <w:right w:val="single" w:color="000000" w:sz="4" w:space="0"/>
                  </w:tcBorders>
                  <w:shd w:val="clear" w:color="auto" w:fill="A9D08E"/>
                  <w:noWrap/>
                  <w:vAlign w:val="center"/>
                </w:tcPr>
                <w:p w14:paraId="75C79A0C">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评分依据</w:t>
                  </w:r>
                </w:p>
              </w:tc>
            </w:tr>
            <w:tr w14:paraId="33A7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12CAB7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1935" w:type="dxa"/>
                  <w:gridSpan w:val="2"/>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0F13A6D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13E4BEEC">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3343" w:type="dxa"/>
                  <w:vMerge w:val="continue"/>
                  <w:tcBorders>
                    <w:top w:val="single" w:color="000000" w:sz="4" w:space="0"/>
                    <w:left w:val="single" w:color="000000" w:sz="4" w:space="0"/>
                    <w:bottom w:val="single" w:color="000000" w:sz="4" w:space="0"/>
                    <w:right w:val="single" w:color="auto" w:sz="4" w:space="0"/>
                  </w:tcBorders>
                  <w:shd w:val="clear" w:color="auto" w:fill="A9D08E"/>
                  <w:noWrap/>
                  <w:vAlign w:val="center"/>
                </w:tcPr>
                <w:p w14:paraId="53A9E992">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2957" w:type="dxa"/>
                  <w:vMerge w:val="continue"/>
                  <w:tcBorders>
                    <w:top w:val="single" w:color="000000" w:sz="4" w:space="0"/>
                    <w:left w:val="single" w:color="auto" w:sz="4" w:space="0"/>
                    <w:bottom w:val="single" w:color="000000" w:sz="4" w:space="0"/>
                    <w:right w:val="single" w:color="000000" w:sz="4" w:space="0"/>
                  </w:tcBorders>
                  <w:shd w:val="clear" w:color="auto" w:fill="A9D08E"/>
                  <w:noWrap/>
                  <w:vAlign w:val="center"/>
                </w:tcPr>
                <w:p w14:paraId="00BE7135">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r>
            <w:tr w14:paraId="09A3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 w:hRule="atLeast"/>
              </w:trPr>
              <w:tc>
                <w:tcPr>
                  <w:tcW w:w="645" w:type="dxa"/>
                  <w:tcBorders>
                    <w:top w:val="single" w:color="000000" w:sz="4" w:space="0"/>
                    <w:left w:val="single" w:color="000000" w:sz="4" w:space="0"/>
                    <w:right w:val="single" w:color="000000" w:sz="4" w:space="0"/>
                  </w:tcBorders>
                  <w:shd w:val="clear" w:color="auto" w:fill="auto"/>
                  <w:noWrap/>
                  <w:vAlign w:val="center"/>
                </w:tcPr>
                <w:p w14:paraId="60951B4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highlight w:val="none"/>
                      <w:u w:val="none"/>
                      <w:lang w:val="en-US"/>
                    </w:rPr>
                  </w:pPr>
                  <w:r>
                    <w:rPr>
                      <w:rFonts w:hint="eastAsia" w:cs="宋体"/>
                      <w:i w:val="0"/>
                      <w:iCs w:val="0"/>
                      <w:color w:val="auto"/>
                      <w:kern w:val="0"/>
                      <w:sz w:val="22"/>
                      <w:szCs w:val="22"/>
                      <w:highlight w:val="none"/>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2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商务性</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61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销售服务</w:t>
                  </w:r>
                </w:p>
              </w:tc>
              <w:tc>
                <w:tcPr>
                  <w:tcW w:w="73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0BE6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highlight w:val="none"/>
                      <w:u w:val="none"/>
                      <w:lang w:val="en-US"/>
                    </w:rPr>
                  </w:pPr>
                  <w:r>
                    <w:rPr>
                      <w:rFonts w:hint="eastAsia" w:cs="宋体"/>
                      <w:i w:val="0"/>
                      <w:iCs w:val="0"/>
                      <w:color w:val="auto"/>
                      <w:kern w:val="0"/>
                      <w:sz w:val="22"/>
                      <w:szCs w:val="22"/>
                      <w:highlight w:val="none"/>
                      <w:u w:val="none"/>
                      <w:lang w:val="en-US" w:eastAsia="zh-CN" w:bidi="ar"/>
                    </w:rPr>
                    <w:t>30</w:t>
                  </w:r>
                </w:p>
              </w:tc>
              <w:tc>
                <w:tcPr>
                  <w:tcW w:w="3343" w:type="dxa"/>
                  <w:tcBorders>
                    <w:top w:val="single" w:color="000000" w:sz="4" w:space="0"/>
                    <w:left w:val="single" w:color="000000" w:sz="4" w:space="0"/>
                    <w:bottom w:val="single" w:color="auto" w:sz="4" w:space="0"/>
                    <w:right w:val="single" w:color="auto" w:sz="4" w:space="0"/>
                  </w:tcBorders>
                  <w:shd w:val="clear" w:color="auto" w:fill="auto"/>
                  <w:vAlign w:val="center"/>
                </w:tcPr>
                <w:p w14:paraId="0E3ED782">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交通便捷，便于加油。北京区域机组车</w:t>
                  </w:r>
                  <w:r>
                    <w:rPr>
                      <w:rFonts w:hint="eastAsia" w:cs="宋体"/>
                      <w:i w:val="0"/>
                      <w:iCs w:val="0"/>
                      <w:color w:val="auto"/>
                      <w:kern w:val="0"/>
                      <w:sz w:val="22"/>
                      <w:szCs w:val="22"/>
                      <w:highlight w:val="none"/>
                      <w:u w:val="none"/>
                      <w:lang w:val="en-US" w:eastAsia="zh-CN" w:bidi="ar"/>
                    </w:rPr>
                    <w:t>从货邮一路前往大兴机场沿途，不需要额外绕路，</w:t>
                  </w:r>
                  <w:r>
                    <w:rPr>
                      <w:rFonts w:hint="eastAsia" w:ascii="宋体" w:hAnsi="宋体" w:eastAsia="宋体" w:cs="宋体"/>
                      <w:i w:val="0"/>
                      <w:iCs w:val="0"/>
                      <w:color w:val="auto"/>
                      <w:kern w:val="0"/>
                      <w:sz w:val="22"/>
                      <w:szCs w:val="22"/>
                      <w:highlight w:val="none"/>
                      <w:u w:val="none"/>
                      <w:lang w:val="en-US" w:eastAsia="zh-CN" w:bidi="ar"/>
                    </w:rPr>
                    <w:t>本项得</w:t>
                  </w:r>
                  <w:r>
                    <w:rPr>
                      <w:rFonts w:hint="eastAsia" w:cs="宋体"/>
                      <w:i w:val="0"/>
                      <w:iCs w:val="0"/>
                      <w:color w:val="auto"/>
                      <w:kern w:val="0"/>
                      <w:sz w:val="22"/>
                      <w:szCs w:val="22"/>
                      <w:highlight w:val="none"/>
                      <w:u w:val="none"/>
                      <w:lang w:val="en-US" w:eastAsia="zh-CN" w:bidi="ar"/>
                    </w:rPr>
                    <w:t>30</w:t>
                  </w:r>
                  <w:r>
                    <w:rPr>
                      <w:rFonts w:hint="eastAsia" w:ascii="宋体" w:hAnsi="宋体" w:eastAsia="宋体" w:cs="宋体"/>
                      <w:i w:val="0"/>
                      <w:iCs w:val="0"/>
                      <w:color w:val="auto"/>
                      <w:kern w:val="0"/>
                      <w:sz w:val="22"/>
                      <w:szCs w:val="22"/>
                      <w:highlight w:val="none"/>
                      <w:u w:val="none"/>
                      <w:lang w:val="en-US" w:eastAsia="zh-CN" w:bidi="ar"/>
                    </w:rPr>
                    <w:t>分</w:t>
                  </w:r>
                  <w:r>
                    <w:rPr>
                      <w:rFonts w:hint="eastAsia" w:cs="宋体"/>
                      <w:i w:val="0"/>
                      <w:iCs w:val="0"/>
                      <w:color w:val="auto"/>
                      <w:kern w:val="0"/>
                      <w:sz w:val="22"/>
                      <w:szCs w:val="22"/>
                      <w:highlight w:val="none"/>
                      <w:u w:val="none"/>
                      <w:lang w:val="en-US" w:eastAsia="zh-CN" w:bidi="ar"/>
                    </w:rPr>
                    <w:t>；需额外绕路200米内</w:t>
                  </w:r>
                  <w:r>
                    <w:rPr>
                      <w:rFonts w:hint="eastAsia" w:ascii="宋体" w:hAnsi="宋体" w:eastAsia="宋体" w:cs="宋体"/>
                      <w:i w:val="0"/>
                      <w:iCs w:val="0"/>
                      <w:color w:val="auto"/>
                      <w:kern w:val="0"/>
                      <w:sz w:val="22"/>
                      <w:szCs w:val="22"/>
                      <w:highlight w:val="none"/>
                      <w:u w:val="none"/>
                      <w:lang w:val="en-US" w:eastAsia="zh-CN" w:bidi="ar"/>
                    </w:rPr>
                    <w:t>本项得</w:t>
                  </w:r>
                  <w:r>
                    <w:rPr>
                      <w:rFonts w:hint="eastAsia" w:cs="宋体"/>
                      <w:i w:val="0"/>
                      <w:iCs w:val="0"/>
                      <w:color w:val="auto"/>
                      <w:kern w:val="0"/>
                      <w:sz w:val="22"/>
                      <w:szCs w:val="22"/>
                      <w:highlight w:val="none"/>
                      <w:u w:val="none"/>
                      <w:lang w:val="en-US" w:eastAsia="zh-CN" w:bidi="ar"/>
                    </w:rPr>
                    <w:t>15；需额外绕路超过200米的不得分。</w:t>
                  </w:r>
                </w:p>
              </w:tc>
              <w:tc>
                <w:tcPr>
                  <w:tcW w:w="2957" w:type="dxa"/>
                  <w:tcBorders>
                    <w:top w:val="single" w:color="000000" w:sz="4" w:space="0"/>
                    <w:left w:val="single" w:color="auto" w:sz="4" w:space="0"/>
                    <w:bottom w:val="single" w:color="auto" w:sz="4" w:space="0"/>
                    <w:right w:val="single" w:color="000000" w:sz="4" w:space="0"/>
                  </w:tcBorders>
                  <w:shd w:val="clear" w:color="auto" w:fill="auto"/>
                  <w:vAlign w:val="center"/>
                </w:tcPr>
                <w:p w14:paraId="304023F9">
                  <w:pPr>
                    <w:pStyle w:val="2"/>
                    <w:keepNext w:val="0"/>
                    <w:keepLines w:val="0"/>
                    <w:suppressLineNumbers w:val="0"/>
                    <w:spacing w:before="0" w:beforeAutospacing="0" w:after="0" w:afterAutospacing="0"/>
                    <w:ind w:left="0" w:right="0"/>
                    <w:rPr>
                      <w:rFonts w:hint="eastAsia"/>
                      <w:highlight w:val="none"/>
                      <w:lang w:val="en-US" w:eastAsia="zh-CN"/>
                    </w:rPr>
                  </w:pPr>
                  <w:r>
                    <w:rPr>
                      <w:rFonts w:hint="eastAsia"/>
                      <w:highlight w:val="none"/>
                      <w:lang w:val="en-US" w:eastAsia="zh-CN"/>
                    </w:rPr>
                    <w:t>高德地图或百度地图</w:t>
                  </w:r>
                </w:p>
                <w:p w14:paraId="0EAC6893">
                  <w:pPr>
                    <w:pStyle w:val="2"/>
                    <w:keepNext w:val="0"/>
                    <w:keepLines w:val="0"/>
                    <w:suppressLineNumbers w:val="0"/>
                    <w:spacing w:before="0" w:beforeAutospacing="0" w:after="0" w:afterAutospacing="0"/>
                    <w:ind w:left="0" w:right="0"/>
                    <w:rPr>
                      <w:rFonts w:hint="eastAsia"/>
                      <w:highlight w:val="none"/>
                      <w:lang w:val="en-US" w:eastAsia="zh-CN"/>
                    </w:rPr>
                  </w:pPr>
                  <w:r>
                    <w:rPr>
                      <w:rFonts w:hint="eastAsia"/>
                      <w:highlight w:val="none"/>
                      <w:lang w:val="en-US" w:eastAsia="zh-CN"/>
                    </w:rPr>
                    <w:t>查询查询供应商加油</w:t>
                  </w:r>
                </w:p>
                <w:p w14:paraId="02872546">
                  <w:pPr>
                    <w:pStyle w:val="2"/>
                    <w:keepNext w:val="0"/>
                    <w:keepLines w:val="0"/>
                    <w:suppressLineNumbers w:val="0"/>
                    <w:spacing w:before="0" w:beforeAutospacing="0" w:after="0" w:afterAutospacing="0"/>
                    <w:ind w:left="0" w:right="0"/>
                    <w:rPr>
                      <w:rFonts w:hint="default"/>
                      <w:highlight w:val="none"/>
                      <w:lang w:val="en-US" w:eastAsia="zh-CN"/>
                    </w:rPr>
                  </w:pPr>
                  <w:r>
                    <w:rPr>
                      <w:rFonts w:hint="eastAsia"/>
                      <w:highlight w:val="none"/>
                      <w:lang w:val="en-US" w:eastAsia="zh-CN"/>
                    </w:rPr>
                    <w:t>位置。</w:t>
                  </w:r>
                </w:p>
              </w:tc>
            </w:tr>
            <w:tr w14:paraId="2CD6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F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cs="宋体"/>
                      <w:i w:val="0"/>
                      <w:iCs w:val="0"/>
                      <w:color w:val="auto"/>
                      <w:kern w:val="0"/>
                      <w:sz w:val="22"/>
                      <w:szCs w:val="22"/>
                      <w:highlight w:val="none"/>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A1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价格分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96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价格</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F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cs="宋体"/>
                      <w:i w:val="0"/>
                      <w:iCs w:val="0"/>
                      <w:color w:val="auto"/>
                      <w:kern w:val="0"/>
                      <w:sz w:val="22"/>
                      <w:szCs w:val="22"/>
                      <w:highlight w:val="none"/>
                      <w:u w:val="none"/>
                      <w:lang w:val="en-US" w:eastAsia="zh-CN" w:bidi="ar"/>
                    </w:rPr>
                    <w:t>7</w:t>
                  </w:r>
                  <w:r>
                    <w:rPr>
                      <w:rFonts w:hint="eastAsia" w:ascii="宋体" w:hAnsi="宋体" w:eastAsia="宋体" w:cs="宋体"/>
                      <w:i w:val="0"/>
                      <w:iCs w:val="0"/>
                      <w:color w:val="auto"/>
                      <w:kern w:val="0"/>
                      <w:sz w:val="22"/>
                      <w:szCs w:val="22"/>
                      <w:highlight w:val="none"/>
                      <w:u w:val="none"/>
                      <w:lang w:val="en-US" w:eastAsia="zh-CN" w:bidi="ar"/>
                    </w:rPr>
                    <w:t>0</w:t>
                  </w:r>
                </w:p>
              </w:tc>
              <w:tc>
                <w:tcPr>
                  <w:tcW w:w="3343" w:type="dxa"/>
                  <w:tcBorders>
                    <w:top w:val="single" w:color="000000" w:sz="4" w:space="0"/>
                    <w:left w:val="single" w:color="000000" w:sz="4" w:space="0"/>
                    <w:bottom w:val="single" w:color="000000" w:sz="4" w:space="0"/>
                    <w:right w:val="single" w:color="auto" w:sz="4" w:space="0"/>
                  </w:tcBorders>
                  <w:shd w:val="clear" w:color="auto" w:fill="auto"/>
                  <w:vAlign w:val="center"/>
                </w:tcPr>
                <w:p w14:paraId="091ECA0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评标基准价计算方法统一采用低价优先法，即满足招标文件要求且最低的投标价格作为评标基准价，其价格分为满分(投标人报价税率一致，以含税价作为价格分计算依据;若投标人报价税率不一致，以不含税价作为价格分计算依据)。其他投标人价格分按下列公式计算:</w:t>
                  </w:r>
                </w:p>
                <w:p w14:paraId="36E4B1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投标报价得分=评标基准价:有效投标价格x价格分。</w:t>
                  </w:r>
                </w:p>
              </w:tc>
              <w:tc>
                <w:tcPr>
                  <w:tcW w:w="2957" w:type="dxa"/>
                  <w:tcBorders>
                    <w:top w:val="single" w:color="000000" w:sz="4" w:space="0"/>
                    <w:left w:val="single" w:color="auto" w:sz="4" w:space="0"/>
                    <w:bottom w:val="single" w:color="000000" w:sz="4" w:space="0"/>
                    <w:right w:val="single" w:color="000000" w:sz="4" w:space="0"/>
                  </w:tcBorders>
                  <w:shd w:val="clear" w:color="auto" w:fill="auto"/>
                  <w:vAlign w:val="center"/>
                </w:tcPr>
                <w:p w14:paraId="109F8C72">
                  <w:pPr>
                    <w:keepNext w:val="0"/>
                    <w:keepLines w:val="0"/>
                    <w:widowControl/>
                    <w:suppressLineNumbers w:val="0"/>
                    <w:spacing w:before="0" w:beforeAutospacing="0" w:after="0" w:afterAutospacing="0"/>
                    <w:ind w:left="0" w:right="0"/>
                    <w:jc w:val="left"/>
                    <w:textAlignment w:val="center"/>
                    <w:rPr>
                      <w:rFonts w:hint="eastAsia"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依据供应商报价</w:t>
                  </w:r>
                </w:p>
                <w:p w14:paraId="0A1A467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测算，评分。</w:t>
                  </w:r>
                </w:p>
              </w:tc>
            </w:tr>
          </w:tbl>
          <w:p w14:paraId="60B7ACE9">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color w:val="auto"/>
                <w:highlight w:val="none"/>
              </w:rPr>
            </w:pPr>
          </w:p>
          <w:p w14:paraId="199D011E">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tbl>
            <w:tblPr>
              <w:tblStyle w:val="37"/>
              <w:tblpPr w:leftFromText="180" w:rightFromText="180" w:vertAnchor="text" w:horzAnchor="page" w:tblpX="54" w:tblpY="37"/>
              <w:tblOverlap w:val="never"/>
              <w:tblW w:w="9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870"/>
              <w:gridCol w:w="1065"/>
              <w:gridCol w:w="738"/>
              <w:gridCol w:w="3343"/>
              <w:gridCol w:w="2957"/>
            </w:tblGrid>
            <w:tr w14:paraId="484B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788401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1935" w:type="dxa"/>
                  <w:gridSpan w:val="2"/>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49EC57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评分项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2E6971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分值权重</w:t>
                  </w:r>
                </w:p>
              </w:tc>
              <w:tc>
                <w:tcPr>
                  <w:tcW w:w="3343" w:type="dxa"/>
                  <w:vMerge w:val="restart"/>
                  <w:tcBorders>
                    <w:top w:val="single" w:color="000000" w:sz="4" w:space="0"/>
                    <w:left w:val="single" w:color="000000" w:sz="4" w:space="0"/>
                    <w:bottom w:val="single" w:color="000000" w:sz="4" w:space="0"/>
                    <w:right w:val="single" w:color="auto" w:sz="4" w:space="0"/>
                  </w:tcBorders>
                  <w:shd w:val="clear" w:color="auto" w:fill="A9D08E"/>
                  <w:noWrap/>
                  <w:vAlign w:val="center"/>
                </w:tcPr>
                <w:p w14:paraId="39EA59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评分标准</w:t>
                  </w:r>
                </w:p>
              </w:tc>
              <w:tc>
                <w:tcPr>
                  <w:tcW w:w="2957" w:type="dxa"/>
                  <w:vMerge w:val="restart"/>
                  <w:tcBorders>
                    <w:top w:val="single" w:color="000000" w:sz="4" w:space="0"/>
                    <w:left w:val="single" w:color="auto" w:sz="4" w:space="0"/>
                    <w:bottom w:val="single" w:color="000000" w:sz="4" w:space="0"/>
                    <w:right w:val="single" w:color="000000" w:sz="4" w:space="0"/>
                  </w:tcBorders>
                  <w:shd w:val="clear" w:color="auto" w:fill="A9D08E"/>
                  <w:noWrap/>
                  <w:vAlign w:val="center"/>
                </w:tcPr>
                <w:p w14:paraId="0F843F13">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评分依据</w:t>
                  </w:r>
                </w:p>
              </w:tc>
            </w:tr>
            <w:tr w14:paraId="1409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362D8733">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1935" w:type="dxa"/>
                  <w:gridSpan w:val="2"/>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A3C9391">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9D08E"/>
                  <w:noWrap/>
                  <w:vAlign w:val="center"/>
                </w:tcPr>
                <w:p w14:paraId="55C98214">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3343" w:type="dxa"/>
                  <w:vMerge w:val="continue"/>
                  <w:tcBorders>
                    <w:top w:val="single" w:color="000000" w:sz="4" w:space="0"/>
                    <w:left w:val="single" w:color="000000" w:sz="4" w:space="0"/>
                    <w:bottom w:val="single" w:color="000000" w:sz="4" w:space="0"/>
                    <w:right w:val="single" w:color="auto" w:sz="4" w:space="0"/>
                  </w:tcBorders>
                  <w:shd w:val="clear" w:color="auto" w:fill="A9D08E"/>
                  <w:noWrap/>
                  <w:vAlign w:val="center"/>
                </w:tcPr>
                <w:p w14:paraId="10DA3E2A">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c>
                <w:tcPr>
                  <w:tcW w:w="2957" w:type="dxa"/>
                  <w:vMerge w:val="continue"/>
                  <w:tcBorders>
                    <w:top w:val="single" w:color="000000" w:sz="4" w:space="0"/>
                    <w:left w:val="single" w:color="auto" w:sz="4" w:space="0"/>
                    <w:bottom w:val="single" w:color="000000" w:sz="4" w:space="0"/>
                    <w:right w:val="single" w:color="000000" w:sz="4" w:space="0"/>
                  </w:tcBorders>
                  <w:shd w:val="clear" w:color="auto" w:fill="A9D08E"/>
                  <w:noWrap/>
                  <w:vAlign w:val="center"/>
                </w:tcPr>
                <w:p w14:paraId="27A93B8E">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2"/>
                      <w:szCs w:val="22"/>
                      <w:highlight w:val="none"/>
                      <w:u w:val="none"/>
                    </w:rPr>
                  </w:pPr>
                </w:p>
              </w:tc>
            </w:tr>
            <w:tr w14:paraId="3FA8B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645" w:type="dxa"/>
                  <w:tcBorders>
                    <w:top w:val="single" w:color="000000" w:sz="4" w:space="0"/>
                    <w:left w:val="single" w:color="000000" w:sz="4" w:space="0"/>
                    <w:right w:val="single" w:color="000000" w:sz="4" w:space="0"/>
                  </w:tcBorders>
                  <w:shd w:val="clear" w:color="auto" w:fill="auto"/>
                  <w:noWrap/>
                  <w:vAlign w:val="center"/>
                </w:tcPr>
                <w:p w14:paraId="267318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highlight w:val="none"/>
                      <w:u w:val="none"/>
                      <w:lang w:val="en-US"/>
                    </w:rPr>
                  </w:pPr>
                  <w:r>
                    <w:rPr>
                      <w:rFonts w:hint="eastAsia" w:cs="宋体"/>
                      <w:i w:val="0"/>
                      <w:iCs w:val="0"/>
                      <w:color w:val="auto"/>
                      <w:kern w:val="0"/>
                      <w:sz w:val="22"/>
                      <w:szCs w:val="22"/>
                      <w:highlight w:val="none"/>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5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商务性</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AC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销售服务</w:t>
                  </w:r>
                </w:p>
              </w:tc>
              <w:tc>
                <w:tcPr>
                  <w:tcW w:w="73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1398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highlight w:val="none"/>
                      <w:u w:val="none"/>
                      <w:lang w:val="en-US"/>
                    </w:rPr>
                  </w:pPr>
                  <w:r>
                    <w:rPr>
                      <w:rFonts w:hint="eastAsia" w:cs="宋体"/>
                      <w:i w:val="0"/>
                      <w:iCs w:val="0"/>
                      <w:color w:val="auto"/>
                      <w:kern w:val="0"/>
                      <w:sz w:val="22"/>
                      <w:szCs w:val="22"/>
                      <w:highlight w:val="none"/>
                      <w:u w:val="none"/>
                      <w:lang w:val="en-US" w:eastAsia="zh-CN" w:bidi="ar"/>
                    </w:rPr>
                    <w:t>30</w:t>
                  </w:r>
                </w:p>
              </w:tc>
              <w:tc>
                <w:tcPr>
                  <w:tcW w:w="3343" w:type="dxa"/>
                  <w:tcBorders>
                    <w:top w:val="single" w:color="000000" w:sz="4" w:space="0"/>
                    <w:left w:val="single" w:color="000000" w:sz="4" w:space="0"/>
                    <w:bottom w:val="single" w:color="auto" w:sz="4" w:space="0"/>
                    <w:right w:val="single" w:color="auto" w:sz="4" w:space="0"/>
                  </w:tcBorders>
                  <w:shd w:val="clear" w:color="auto" w:fill="auto"/>
                  <w:vAlign w:val="center"/>
                </w:tcPr>
                <w:p w14:paraId="18F6DD9D">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交通便捷，便于加油。廊坊片区</w:t>
                  </w:r>
                  <w:r>
                    <w:rPr>
                      <w:rFonts w:hint="eastAsia" w:cs="宋体"/>
                      <w:i w:val="0"/>
                      <w:iCs w:val="0"/>
                      <w:color w:val="auto"/>
                      <w:kern w:val="0"/>
                      <w:sz w:val="22"/>
                      <w:szCs w:val="22"/>
                      <w:highlight w:val="none"/>
                      <w:u w:val="none"/>
                      <w:lang w:val="en-US" w:eastAsia="zh-CN" w:bidi="ar"/>
                    </w:rPr>
                    <w:t>从大兴机场基地前往大兴机场沿途不需要额外绕路、不上高速，或离大兴机场基地距离在2公里内，</w:t>
                  </w:r>
                  <w:r>
                    <w:rPr>
                      <w:rFonts w:hint="eastAsia" w:ascii="宋体" w:hAnsi="宋体" w:eastAsia="宋体" w:cs="宋体"/>
                      <w:i w:val="0"/>
                      <w:iCs w:val="0"/>
                      <w:color w:val="auto"/>
                      <w:kern w:val="0"/>
                      <w:sz w:val="22"/>
                      <w:szCs w:val="22"/>
                      <w:highlight w:val="none"/>
                      <w:u w:val="none"/>
                      <w:lang w:val="en-US" w:eastAsia="zh-CN" w:bidi="ar"/>
                    </w:rPr>
                    <w:t>本项得</w:t>
                  </w:r>
                  <w:r>
                    <w:rPr>
                      <w:rFonts w:hint="eastAsia" w:cs="宋体"/>
                      <w:i w:val="0"/>
                      <w:iCs w:val="0"/>
                      <w:color w:val="auto"/>
                      <w:kern w:val="0"/>
                      <w:sz w:val="22"/>
                      <w:szCs w:val="22"/>
                      <w:highlight w:val="none"/>
                      <w:u w:val="none"/>
                      <w:lang w:val="en-US" w:eastAsia="zh-CN" w:bidi="ar"/>
                    </w:rPr>
                    <w:t>30</w:t>
                  </w:r>
                  <w:r>
                    <w:rPr>
                      <w:rFonts w:hint="eastAsia" w:ascii="宋体" w:hAnsi="宋体" w:eastAsia="宋体" w:cs="宋体"/>
                      <w:i w:val="0"/>
                      <w:iCs w:val="0"/>
                      <w:color w:val="auto"/>
                      <w:kern w:val="0"/>
                      <w:sz w:val="22"/>
                      <w:szCs w:val="22"/>
                      <w:highlight w:val="none"/>
                      <w:u w:val="none"/>
                      <w:lang w:val="en-US" w:eastAsia="zh-CN" w:bidi="ar"/>
                    </w:rPr>
                    <w:t>分</w:t>
                  </w:r>
                  <w:r>
                    <w:rPr>
                      <w:rFonts w:hint="eastAsia" w:cs="宋体"/>
                      <w:i w:val="0"/>
                      <w:iCs w:val="0"/>
                      <w:color w:val="auto"/>
                      <w:kern w:val="0"/>
                      <w:sz w:val="22"/>
                      <w:szCs w:val="22"/>
                      <w:highlight w:val="none"/>
                      <w:u w:val="none"/>
                      <w:lang w:val="en-US" w:eastAsia="zh-CN" w:bidi="ar"/>
                    </w:rPr>
                    <w:t>；沿途需要额外绕200米内，或在沿途高速服务区，或离大兴机场基地距离在3公里内，</w:t>
                  </w:r>
                  <w:r>
                    <w:rPr>
                      <w:rFonts w:hint="eastAsia" w:ascii="宋体" w:hAnsi="宋体" w:eastAsia="宋体" w:cs="宋体"/>
                      <w:i w:val="0"/>
                      <w:iCs w:val="0"/>
                      <w:color w:val="auto"/>
                      <w:kern w:val="0"/>
                      <w:sz w:val="22"/>
                      <w:szCs w:val="22"/>
                      <w:highlight w:val="none"/>
                      <w:u w:val="none"/>
                      <w:lang w:val="en-US" w:eastAsia="zh-CN" w:bidi="ar"/>
                    </w:rPr>
                    <w:t>本项得</w:t>
                  </w:r>
                  <w:r>
                    <w:rPr>
                      <w:rFonts w:hint="eastAsia" w:cs="宋体"/>
                      <w:i w:val="0"/>
                      <w:iCs w:val="0"/>
                      <w:color w:val="auto"/>
                      <w:kern w:val="0"/>
                      <w:sz w:val="22"/>
                      <w:szCs w:val="22"/>
                      <w:highlight w:val="none"/>
                      <w:u w:val="none"/>
                      <w:lang w:val="en-US" w:eastAsia="zh-CN" w:bidi="ar"/>
                    </w:rPr>
                    <w:t>15；其他区域不得分。</w:t>
                  </w:r>
                </w:p>
              </w:tc>
              <w:tc>
                <w:tcPr>
                  <w:tcW w:w="2957" w:type="dxa"/>
                  <w:tcBorders>
                    <w:top w:val="single" w:color="000000" w:sz="4" w:space="0"/>
                    <w:left w:val="single" w:color="auto" w:sz="4" w:space="0"/>
                    <w:bottom w:val="single" w:color="auto" w:sz="4" w:space="0"/>
                    <w:right w:val="single" w:color="000000" w:sz="4" w:space="0"/>
                  </w:tcBorders>
                  <w:shd w:val="clear" w:color="auto" w:fill="auto"/>
                  <w:vAlign w:val="center"/>
                </w:tcPr>
                <w:p w14:paraId="0E6ABC27">
                  <w:pPr>
                    <w:pStyle w:val="2"/>
                    <w:keepNext w:val="0"/>
                    <w:keepLines w:val="0"/>
                    <w:suppressLineNumbers w:val="0"/>
                    <w:spacing w:before="0" w:beforeAutospacing="0" w:after="0" w:afterAutospacing="0"/>
                    <w:ind w:left="0" w:right="0"/>
                    <w:rPr>
                      <w:rFonts w:hint="eastAsia"/>
                      <w:highlight w:val="none"/>
                      <w:lang w:val="en-US" w:eastAsia="zh-CN"/>
                    </w:rPr>
                  </w:pPr>
                  <w:r>
                    <w:rPr>
                      <w:rFonts w:hint="eastAsia"/>
                      <w:highlight w:val="none"/>
                      <w:lang w:val="en-US" w:eastAsia="zh-CN"/>
                    </w:rPr>
                    <w:t>高德地图或百度地图</w:t>
                  </w:r>
                </w:p>
                <w:p w14:paraId="068C8200">
                  <w:pPr>
                    <w:pStyle w:val="2"/>
                    <w:keepNext w:val="0"/>
                    <w:keepLines w:val="0"/>
                    <w:suppressLineNumbers w:val="0"/>
                    <w:spacing w:before="0" w:beforeAutospacing="0" w:after="0" w:afterAutospacing="0"/>
                    <w:ind w:left="0" w:right="0"/>
                    <w:rPr>
                      <w:rFonts w:hint="eastAsia"/>
                      <w:highlight w:val="none"/>
                      <w:lang w:val="en-US" w:eastAsia="zh-CN"/>
                    </w:rPr>
                  </w:pPr>
                  <w:r>
                    <w:rPr>
                      <w:rFonts w:hint="eastAsia"/>
                      <w:highlight w:val="none"/>
                      <w:lang w:val="en-US" w:eastAsia="zh-CN"/>
                    </w:rPr>
                    <w:t>查询查询供应商加油</w:t>
                  </w:r>
                </w:p>
                <w:p w14:paraId="096F9984">
                  <w:pPr>
                    <w:pStyle w:val="2"/>
                    <w:keepNext w:val="0"/>
                    <w:keepLines w:val="0"/>
                    <w:suppressLineNumbers w:val="0"/>
                    <w:spacing w:before="0" w:beforeAutospacing="0" w:after="0" w:afterAutospacing="0"/>
                    <w:ind w:left="0" w:right="0"/>
                    <w:rPr>
                      <w:rFonts w:hint="default"/>
                      <w:highlight w:val="none"/>
                      <w:lang w:val="en-US" w:eastAsia="zh-CN"/>
                    </w:rPr>
                  </w:pPr>
                  <w:r>
                    <w:rPr>
                      <w:rFonts w:hint="eastAsia"/>
                      <w:highlight w:val="none"/>
                      <w:lang w:val="en-US" w:eastAsia="zh-CN"/>
                    </w:rPr>
                    <w:t>位置。</w:t>
                  </w:r>
                </w:p>
              </w:tc>
            </w:tr>
            <w:tr w14:paraId="3866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1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cs="宋体"/>
                      <w:i w:val="0"/>
                      <w:iCs w:val="0"/>
                      <w:color w:val="auto"/>
                      <w:kern w:val="0"/>
                      <w:sz w:val="22"/>
                      <w:szCs w:val="22"/>
                      <w:highlight w:val="none"/>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3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价格分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DC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价格</w:t>
                  </w:r>
                </w:p>
              </w:tc>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5E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cs="宋体"/>
                      <w:i w:val="0"/>
                      <w:iCs w:val="0"/>
                      <w:color w:val="auto"/>
                      <w:kern w:val="0"/>
                      <w:sz w:val="22"/>
                      <w:szCs w:val="22"/>
                      <w:highlight w:val="none"/>
                      <w:u w:val="none"/>
                      <w:lang w:val="en-US" w:eastAsia="zh-CN" w:bidi="ar"/>
                    </w:rPr>
                    <w:t>7</w:t>
                  </w:r>
                  <w:r>
                    <w:rPr>
                      <w:rFonts w:hint="eastAsia" w:ascii="宋体" w:hAnsi="宋体" w:eastAsia="宋体" w:cs="宋体"/>
                      <w:i w:val="0"/>
                      <w:iCs w:val="0"/>
                      <w:color w:val="auto"/>
                      <w:kern w:val="0"/>
                      <w:sz w:val="22"/>
                      <w:szCs w:val="22"/>
                      <w:highlight w:val="none"/>
                      <w:u w:val="none"/>
                      <w:lang w:val="en-US" w:eastAsia="zh-CN" w:bidi="ar"/>
                    </w:rPr>
                    <w:t>0</w:t>
                  </w:r>
                </w:p>
              </w:tc>
              <w:tc>
                <w:tcPr>
                  <w:tcW w:w="3343" w:type="dxa"/>
                  <w:tcBorders>
                    <w:top w:val="single" w:color="000000" w:sz="4" w:space="0"/>
                    <w:left w:val="single" w:color="000000" w:sz="4" w:space="0"/>
                    <w:bottom w:val="single" w:color="000000" w:sz="4" w:space="0"/>
                    <w:right w:val="single" w:color="auto" w:sz="4" w:space="0"/>
                  </w:tcBorders>
                  <w:shd w:val="clear" w:color="auto" w:fill="auto"/>
                  <w:vAlign w:val="center"/>
                </w:tcPr>
                <w:p w14:paraId="455B7FF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评标基准价计算方法统一采用低价优先法，即满足招标文件要求且最低的投标价格作为评标基准价，其价格分为满分(投标人报价税率一致，以含税价作为价格分计算依据;若投标人报价税率不一致，以不含税价作为价格分计算依据)。其他投标人价格分按下列公式计算:</w:t>
                  </w:r>
                </w:p>
                <w:p w14:paraId="605FF78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投标报价得分=评标基准价:有效投标价格x价格分。</w:t>
                  </w:r>
                </w:p>
              </w:tc>
              <w:tc>
                <w:tcPr>
                  <w:tcW w:w="2957" w:type="dxa"/>
                  <w:tcBorders>
                    <w:top w:val="single" w:color="000000" w:sz="4" w:space="0"/>
                    <w:left w:val="single" w:color="auto" w:sz="4" w:space="0"/>
                    <w:bottom w:val="single" w:color="000000" w:sz="4" w:space="0"/>
                    <w:right w:val="single" w:color="000000" w:sz="4" w:space="0"/>
                  </w:tcBorders>
                  <w:shd w:val="clear" w:color="auto" w:fill="auto"/>
                  <w:vAlign w:val="center"/>
                </w:tcPr>
                <w:p w14:paraId="71AD7C5D">
                  <w:pPr>
                    <w:keepNext w:val="0"/>
                    <w:keepLines w:val="0"/>
                    <w:widowControl/>
                    <w:suppressLineNumbers w:val="0"/>
                    <w:spacing w:before="0" w:beforeAutospacing="0" w:after="0" w:afterAutospacing="0"/>
                    <w:ind w:left="0" w:right="0"/>
                    <w:jc w:val="left"/>
                    <w:textAlignment w:val="center"/>
                    <w:rPr>
                      <w:rFonts w:hint="eastAsia"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依据供应商报价</w:t>
                  </w:r>
                </w:p>
                <w:p w14:paraId="0848267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测算，评分。</w:t>
                  </w:r>
                </w:p>
              </w:tc>
            </w:tr>
          </w:tbl>
          <w:p w14:paraId="4EC870C3">
            <w:pPr>
              <w:pStyle w:val="119"/>
              <w:keepNext w:val="0"/>
              <w:keepLines w:val="0"/>
              <w:numPr>
                <w:ilvl w:val="0"/>
                <w:numId w:val="5"/>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谈判小组</w:t>
            </w:r>
            <w:r>
              <w:rPr>
                <w:rFonts w:hint="eastAsia"/>
                <w:b/>
                <w:color w:val="auto"/>
                <w:highlight w:val="none"/>
              </w:rPr>
              <w:t>对所有的供应商的响应文件的评审，都采用相同的程序和标准。</w:t>
            </w:r>
          </w:p>
          <w:p w14:paraId="182B2AE9">
            <w:pPr>
              <w:pStyle w:val="119"/>
              <w:keepNext w:val="0"/>
              <w:keepLines w:val="0"/>
              <w:numPr>
                <w:ilvl w:val="0"/>
                <w:numId w:val="5"/>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根据各评委的打分结果分别汇总，再进行算术平均，计算出各有效谈判供应商的技术商务因素得分，最后根据综合得分公示计算其综合得分。</w:t>
            </w:r>
          </w:p>
          <w:p w14:paraId="424227FD">
            <w:pPr>
              <w:pStyle w:val="119"/>
              <w:keepNext w:val="0"/>
              <w:keepLines w:val="0"/>
              <w:numPr>
                <w:ilvl w:val="0"/>
                <w:numId w:val="5"/>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各项因素进行综合评审后，评审总得分最高的供应商作为成交候选供应商。得分相同的，按报价由低到高顺序推荐；得分且报价相同的，按技术指标优劣顺序推荐。报价相同的，按技术指标优劣顺序推荐。技术指标一致的，现场抽签决定。</w:t>
            </w:r>
          </w:p>
          <w:p w14:paraId="4AEDC0C2">
            <w:pPr>
              <w:pStyle w:val="119"/>
              <w:keepNext w:val="0"/>
              <w:keepLines w:val="0"/>
              <w:numPr>
                <w:ilvl w:val="0"/>
                <w:numId w:val="5"/>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参加评审的相关人员，不得将有关响应文件的审查、澄清、评估和比较以及会影响评审工作的一切情况，透露给任何一位供应商或与上述评审工作无关的人员。</w:t>
            </w:r>
          </w:p>
          <w:p w14:paraId="031464AF">
            <w:pPr>
              <w:pStyle w:val="119"/>
              <w:keepNext w:val="0"/>
              <w:keepLines w:val="0"/>
              <w:numPr>
                <w:ilvl w:val="0"/>
                <w:numId w:val="4"/>
              </w:numPr>
              <w:suppressLineNumbers w:val="0"/>
              <w:spacing w:before="0" w:beforeAutospacing="0" w:after="0" w:afterAutospacing="0" w:line="360" w:lineRule="auto"/>
              <w:ind w:right="0" w:firstLineChars="0"/>
              <w:jc w:val="left"/>
              <w:rPr>
                <w:rFonts w:hint="default"/>
                <w:color w:val="auto"/>
                <w:highlight w:val="none"/>
              </w:rPr>
            </w:pPr>
            <w:r>
              <w:rPr>
                <w:rFonts w:hint="eastAsia"/>
                <w:color w:val="auto"/>
                <w:highlight w:val="none"/>
              </w:rPr>
              <w:t>推荐成交候选供应商名单。</w:t>
            </w:r>
          </w:p>
          <w:p w14:paraId="2FA98A71">
            <w:pPr>
              <w:pStyle w:val="119"/>
              <w:keepNext w:val="0"/>
              <w:keepLines w:val="0"/>
              <w:numPr>
                <w:ilvl w:val="0"/>
                <w:numId w:val="6"/>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本项目的成交候选供应商数量为：</w:t>
            </w:r>
          </w:p>
          <w:p w14:paraId="3A15E68C">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49D1FE44">
            <w:pPr>
              <w:keepNext w:val="0"/>
              <w:keepLines w:val="0"/>
              <w:numPr>
                <w:ilvl w:val="0"/>
                <w:numId w:val="0"/>
              </w:numPr>
              <w:suppressLineNumbers w:val="0"/>
              <w:tabs>
                <w:tab w:val="left" w:pos="0"/>
              </w:tabs>
              <w:adjustRightInd w:val="0"/>
              <w:spacing w:before="0" w:beforeAutospacing="0" w:after="0" w:afterAutospacing="0" w:line="360" w:lineRule="auto"/>
              <w:ind w:left="426" w:leftChars="0" w:right="0"/>
              <w:rPr>
                <w:rFonts w:hint="default"/>
                <w:color w:val="auto"/>
                <w:highlight w:val="none"/>
              </w:rPr>
            </w:pPr>
            <w:r>
              <w:rPr>
                <w:rFonts w:hint="eastAsia"/>
                <w:color w:val="auto"/>
                <w:highlight w:val="none"/>
              </w:rPr>
              <w:t>成交候选供应商数量为：</w:t>
            </w:r>
            <w:r>
              <w:rPr>
                <w:rFonts w:hint="eastAsia"/>
                <w:color w:val="auto"/>
                <w:highlight w:val="none"/>
                <w:lang w:val="en-US" w:eastAsia="zh-CN"/>
              </w:rPr>
              <w:t>位于‌北京大兴国际机场北京红线区域1家。</w:t>
            </w:r>
          </w:p>
          <w:p w14:paraId="0F1FE846">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12C1BE74">
            <w:pPr>
              <w:keepNext w:val="0"/>
              <w:keepLines w:val="0"/>
              <w:numPr>
                <w:ilvl w:val="0"/>
                <w:numId w:val="0"/>
              </w:numPr>
              <w:suppressLineNumbers w:val="0"/>
              <w:tabs>
                <w:tab w:val="left" w:pos="0"/>
              </w:tabs>
              <w:adjustRightInd w:val="0"/>
              <w:spacing w:before="0" w:beforeAutospacing="0" w:after="0" w:afterAutospacing="0" w:line="360" w:lineRule="auto"/>
              <w:ind w:left="426" w:leftChars="0" w:right="0"/>
              <w:rPr>
                <w:rFonts w:hint="default"/>
                <w:color w:val="auto"/>
                <w:highlight w:val="none"/>
              </w:rPr>
            </w:pPr>
            <w:r>
              <w:rPr>
                <w:rFonts w:hint="eastAsia"/>
                <w:color w:val="auto"/>
                <w:highlight w:val="none"/>
              </w:rPr>
              <w:t>成交候选供应商数量为：</w:t>
            </w:r>
            <w:r>
              <w:rPr>
                <w:rFonts w:hint="eastAsia"/>
                <w:color w:val="auto"/>
                <w:highlight w:val="none"/>
                <w:lang w:val="en-US" w:eastAsia="zh-CN"/>
              </w:rPr>
              <w:t>位于‌北京大兴国际机场临空经济区廊坊片区1家。</w:t>
            </w:r>
          </w:p>
          <w:p w14:paraId="5EF6F074">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color w:val="auto"/>
                <w:highlight w:val="none"/>
              </w:rPr>
            </w:pPr>
          </w:p>
          <w:p w14:paraId="0AC7A696">
            <w:pPr>
              <w:pStyle w:val="119"/>
              <w:keepNext w:val="0"/>
              <w:keepLines w:val="0"/>
              <w:numPr>
                <w:ilvl w:val="0"/>
                <w:numId w:val="6"/>
              </w:numPr>
              <w:suppressLineNumbers w:val="0"/>
              <w:spacing w:before="0" w:beforeAutospacing="0" w:after="0" w:afterAutospacing="0" w:line="360" w:lineRule="auto"/>
              <w:ind w:left="0" w:right="0" w:firstLine="426" w:firstLineChars="0"/>
              <w:jc w:val="left"/>
              <w:rPr>
                <w:rFonts w:hint="default"/>
                <w:color w:val="auto"/>
                <w:highlight w:val="none"/>
              </w:rPr>
            </w:pPr>
            <w:r>
              <w:rPr>
                <w:rFonts w:hint="eastAsia"/>
                <w:color w:val="auto"/>
                <w:highlight w:val="none"/>
              </w:rPr>
              <w:t>备选供应商启用条件（满足其一）：</w:t>
            </w:r>
          </w:p>
          <w:p w14:paraId="178E5662">
            <w:pPr>
              <w:keepNext w:val="0"/>
              <w:keepLines w:val="0"/>
              <w:numPr>
                <w:ilvl w:val="0"/>
                <w:numId w:val="7"/>
              </w:numPr>
              <w:suppressLineNumbers w:val="0"/>
              <w:spacing w:before="0" w:beforeAutospacing="0" w:after="0" w:afterAutospacing="0" w:line="360" w:lineRule="auto"/>
              <w:ind w:left="0" w:right="0" w:firstLine="426"/>
              <w:jc w:val="left"/>
              <w:rPr>
                <w:rFonts w:hint="default"/>
                <w:color w:val="auto"/>
                <w:highlight w:val="none"/>
              </w:rPr>
            </w:pPr>
            <w:r>
              <w:rPr>
                <w:rFonts w:hint="eastAsia"/>
                <w:color w:val="auto"/>
                <w:highlight w:val="none"/>
              </w:rPr>
              <w:t>成交供应商放弃中标</w:t>
            </w:r>
            <w:r>
              <w:rPr>
                <w:rFonts w:hint="eastAsia"/>
                <w:color w:val="auto"/>
                <w:highlight w:val="none"/>
                <w:lang w:val="en-US" w:eastAsia="zh-CN"/>
              </w:rPr>
              <w:t>/成交</w:t>
            </w:r>
            <w:r>
              <w:rPr>
                <w:rFonts w:hint="eastAsia"/>
                <w:color w:val="auto"/>
                <w:highlight w:val="none"/>
              </w:rPr>
              <w:t>、无法实质性响应</w:t>
            </w:r>
            <w:r>
              <w:rPr>
                <w:rFonts w:hint="eastAsia"/>
                <w:color w:val="auto"/>
                <w:highlight w:val="none"/>
                <w:lang w:eastAsia="zh-CN"/>
              </w:rPr>
              <w:t>谈判文件</w:t>
            </w:r>
            <w:r>
              <w:rPr>
                <w:rFonts w:hint="eastAsia"/>
                <w:color w:val="auto"/>
                <w:highlight w:val="none"/>
              </w:rPr>
              <w:t>的要求，或者被查实存在影响中标</w:t>
            </w:r>
            <w:r>
              <w:rPr>
                <w:rFonts w:hint="eastAsia"/>
                <w:color w:val="auto"/>
                <w:highlight w:val="none"/>
                <w:lang w:val="en-US" w:eastAsia="zh-CN"/>
              </w:rPr>
              <w:t>/成交</w:t>
            </w:r>
            <w:r>
              <w:rPr>
                <w:rFonts w:hint="eastAsia"/>
                <w:color w:val="auto"/>
                <w:highlight w:val="none"/>
              </w:rPr>
              <w:t>结果的违法行为等情形不符合中标</w:t>
            </w:r>
            <w:r>
              <w:rPr>
                <w:rFonts w:hint="eastAsia"/>
                <w:color w:val="auto"/>
                <w:highlight w:val="none"/>
                <w:lang w:val="en-US" w:eastAsia="zh-CN"/>
              </w:rPr>
              <w:t>/成交</w:t>
            </w:r>
            <w:r>
              <w:rPr>
                <w:rFonts w:hint="eastAsia"/>
                <w:color w:val="auto"/>
                <w:highlight w:val="none"/>
              </w:rPr>
              <w:t>条件的；</w:t>
            </w:r>
          </w:p>
          <w:p w14:paraId="313B9617">
            <w:pPr>
              <w:keepNext w:val="0"/>
              <w:keepLines w:val="0"/>
              <w:numPr>
                <w:ilvl w:val="0"/>
                <w:numId w:val="7"/>
              </w:numPr>
              <w:suppressLineNumbers w:val="0"/>
              <w:spacing w:before="0" w:beforeAutospacing="0" w:after="0" w:afterAutospacing="0" w:line="360" w:lineRule="auto"/>
              <w:ind w:left="0" w:right="0" w:firstLine="426"/>
              <w:jc w:val="left"/>
              <w:rPr>
                <w:rFonts w:hint="default"/>
                <w:color w:val="auto"/>
                <w:highlight w:val="none"/>
              </w:rPr>
            </w:pPr>
            <w:r>
              <w:rPr>
                <w:rFonts w:hint="eastAsia"/>
                <w:color w:val="auto"/>
                <w:highlight w:val="none"/>
              </w:rPr>
              <w:t>成交供应商在合同履约过程中，出现质量问题或其他无法继续履约情况的；</w:t>
            </w:r>
          </w:p>
          <w:p w14:paraId="7904A19F">
            <w:pPr>
              <w:keepNext w:val="0"/>
              <w:keepLines w:val="0"/>
              <w:numPr>
                <w:ilvl w:val="0"/>
                <w:numId w:val="7"/>
              </w:numPr>
              <w:suppressLineNumbers w:val="0"/>
              <w:spacing w:before="0" w:beforeAutospacing="0" w:after="0" w:afterAutospacing="0" w:line="360" w:lineRule="auto"/>
              <w:ind w:left="0" w:right="0" w:firstLine="426"/>
              <w:jc w:val="left"/>
              <w:rPr>
                <w:rFonts w:hint="default"/>
                <w:color w:val="auto"/>
                <w:highlight w:val="none"/>
              </w:rPr>
            </w:pPr>
            <w:r>
              <w:rPr>
                <w:rFonts w:hint="eastAsia"/>
                <w:color w:val="auto"/>
                <w:highlight w:val="none"/>
                <w:lang w:eastAsia="zh-CN"/>
              </w:rPr>
              <w:t>谈判文件</w:t>
            </w:r>
            <w:r>
              <w:rPr>
                <w:rFonts w:hint="eastAsia"/>
                <w:color w:val="auto"/>
                <w:highlight w:val="none"/>
              </w:rPr>
              <w:t>有明确列明合同订单份额的；</w:t>
            </w:r>
          </w:p>
          <w:p w14:paraId="4EFACD5E">
            <w:pPr>
              <w:keepNext w:val="0"/>
              <w:keepLines w:val="0"/>
              <w:numPr>
                <w:ilvl w:val="0"/>
                <w:numId w:val="7"/>
              </w:numPr>
              <w:suppressLineNumbers w:val="0"/>
              <w:spacing w:before="0" w:beforeAutospacing="0" w:after="0" w:afterAutospacing="0" w:line="360" w:lineRule="auto"/>
              <w:ind w:left="0" w:right="0" w:firstLine="426"/>
              <w:jc w:val="left"/>
              <w:rPr>
                <w:rFonts w:hint="default"/>
                <w:color w:val="auto"/>
                <w:highlight w:val="none"/>
              </w:rPr>
            </w:pPr>
            <w:r>
              <w:rPr>
                <w:rFonts w:hint="eastAsia"/>
                <w:color w:val="auto"/>
                <w:highlight w:val="none"/>
                <w:lang w:eastAsia="zh-CN"/>
              </w:rPr>
              <w:t>谈判文件</w:t>
            </w:r>
            <w:r>
              <w:rPr>
                <w:rFonts w:hint="eastAsia"/>
                <w:color w:val="auto"/>
                <w:highlight w:val="none"/>
              </w:rPr>
              <w:t>的其他要求。</w:t>
            </w:r>
          </w:p>
        </w:tc>
      </w:tr>
    </w:tbl>
    <w:p w14:paraId="297D4365">
      <w:pPr>
        <w:pStyle w:val="76"/>
        <w:numPr>
          <w:ilvl w:val="0"/>
          <w:numId w:val="8"/>
        </w:numPr>
        <w:tabs>
          <w:tab w:val="left" w:pos="640"/>
        </w:tabs>
        <w:ind w:hanging="704"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rPr>
        <w:t>总则</w:t>
      </w:r>
    </w:p>
    <w:p w14:paraId="701AE711">
      <w:pPr>
        <w:pStyle w:val="5"/>
        <w:numPr>
          <w:ilvl w:val="0"/>
          <w:numId w:val="9"/>
        </w:numPr>
        <w:adjustRightInd w:val="0"/>
        <w:rPr>
          <w:color w:val="auto"/>
          <w:sz w:val="24"/>
          <w:szCs w:val="21"/>
          <w:highlight w:val="none"/>
        </w:rPr>
      </w:pPr>
      <w:r>
        <w:rPr>
          <w:rFonts w:hint="eastAsia"/>
          <w:color w:val="auto"/>
          <w:sz w:val="24"/>
          <w:szCs w:val="21"/>
          <w:highlight w:val="none"/>
        </w:rPr>
        <w:t>定义</w:t>
      </w:r>
    </w:p>
    <w:p w14:paraId="1EDEC4F5">
      <w:pPr>
        <w:numPr>
          <w:ilvl w:val="1"/>
          <w:numId w:val="10"/>
        </w:numPr>
        <w:tabs>
          <w:tab w:val="left" w:pos="0"/>
        </w:tabs>
        <w:adjustRightInd w:val="0"/>
        <w:spacing w:line="360" w:lineRule="auto"/>
        <w:ind w:left="567" w:hanging="283"/>
        <w:rPr>
          <w:color w:val="auto"/>
          <w:highlight w:val="none"/>
        </w:rPr>
      </w:pPr>
      <w:r>
        <w:rPr>
          <w:rFonts w:hint="eastAsia"/>
          <w:color w:val="auto"/>
          <w:highlight w:val="none"/>
        </w:rPr>
        <w:t>“</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”系指</w:t>
      </w:r>
      <w:r>
        <w:rPr>
          <w:rFonts w:hint="eastAsia" w:ascii="宋体" w:hAnsi="宋体" w:eastAsia="宋体"/>
          <w:b w:val="0"/>
          <w:color w:val="auto"/>
          <w:sz w:val="21"/>
          <w:szCs w:val="21"/>
          <w:highlight w:val="none"/>
          <w:lang w:eastAsia="zh-CN"/>
        </w:rPr>
        <w:t>厦门航空有限公司北方总部</w:t>
      </w:r>
      <w:r>
        <w:rPr>
          <w:rFonts w:hint="eastAsia"/>
          <w:color w:val="auto"/>
          <w:highlight w:val="none"/>
        </w:rPr>
        <w:t>。</w:t>
      </w:r>
    </w:p>
    <w:p w14:paraId="13639F1D">
      <w:pPr>
        <w:numPr>
          <w:ilvl w:val="1"/>
          <w:numId w:val="10"/>
        </w:numPr>
        <w:tabs>
          <w:tab w:val="left" w:pos="0"/>
        </w:tabs>
        <w:spacing w:line="360" w:lineRule="auto"/>
        <w:ind w:left="567" w:hanging="283"/>
        <w:rPr>
          <w:color w:val="auto"/>
          <w:highlight w:val="none"/>
        </w:rPr>
      </w:pPr>
      <w:r>
        <w:rPr>
          <w:rFonts w:hint="eastAsia"/>
          <w:color w:val="auto"/>
          <w:highlight w:val="none"/>
        </w:rPr>
        <w:t>“</w:t>
      </w:r>
      <w:r>
        <w:rPr>
          <w:rFonts w:hint="eastAsia"/>
          <w:color w:val="auto"/>
          <w:highlight w:val="none"/>
          <w:lang w:val="en-US" w:eastAsia="zh-CN"/>
        </w:rPr>
        <w:t>采购人</w:t>
      </w:r>
      <w:r>
        <w:rPr>
          <w:rFonts w:hint="eastAsia"/>
          <w:color w:val="auto"/>
          <w:highlight w:val="none"/>
        </w:rPr>
        <w:t>”系指组织本次采购项目的</w:t>
      </w:r>
      <w:r>
        <w:rPr>
          <w:rFonts w:hint="eastAsia" w:ascii="宋体" w:hAnsi="宋体"/>
          <w:b w:val="0"/>
          <w:color w:val="auto"/>
          <w:sz w:val="21"/>
          <w:szCs w:val="21"/>
          <w:highlight w:val="none"/>
          <w:lang w:eastAsia="zh-CN"/>
        </w:rPr>
        <w:t>厦门航空有限公司北方总部</w:t>
      </w:r>
      <w:r>
        <w:rPr>
          <w:rFonts w:hint="eastAsia"/>
          <w:color w:val="auto"/>
          <w:highlight w:val="none"/>
        </w:rPr>
        <w:t>。</w:t>
      </w:r>
    </w:p>
    <w:p w14:paraId="523F5CD5">
      <w:pPr>
        <w:numPr>
          <w:ilvl w:val="1"/>
          <w:numId w:val="10"/>
        </w:numPr>
        <w:tabs>
          <w:tab w:val="left" w:pos="0"/>
        </w:tabs>
        <w:adjustRightInd w:val="0"/>
        <w:spacing w:line="360" w:lineRule="auto"/>
        <w:ind w:left="567" w:hanging="283"/>
        <w:rPr>
          <w:color w:val="auto"/>
          <w:highlight w:val="none"/>
        </w:rPr>
      </w:pPr>
      <w:r>
        <w:rPr>
          <w:rFonts w:hint="eastAsia"/>
          <w:color w:val="auto"/>
          <w:highlight w:val="none"/>
        </w:rPr>
        <w:t>“谈判供应商”系指向</w:t>
      </w:r>
      <w:r>
        <w:rPr>
          <w:rFonts w:hint="eastAsia"/>
          <w:color w:val="auto"/>
          <w:highlight w:val="none"/>
          <w:lang w:eastAsia="zh-CN"/>
        </w:rPr>
        <w:t>采购人</w:t>
      </w:r>
      <w:r>
        <w:rPr>
          <w:rFonts w:hint="eastAsia"/>
          <w:color w:val="auto"/>
          <w:highlight w:val="none"/>
        </w:rPr>
        <w:t>提交响应文件的制造商、集成承包商、代理商或经销商。</w:t>
      </w:r>
    </w:p>
    <w:p w14:paraId="1E502C0D">
      <w:pPr>
        <w:numPr>
          <w:ilvl w:val="1"/>
          <w:numId w:val="10"/>
        </w:numPr>
        <w:tabs>
          <w:tab w:val="left" w:pos="0"/>
        </w:tabs>
        <w:adjustRightInd w:val="0"/>
        <w:spacing w:line="360" w:lineRule="auto"/>
        <w:ind w:left="567" w:hanging="283"/>
        <w:rPr>
          <w:color w:val="auto"/>
          <w:highlight w:val="none"/>
        </w:rPr>
      </w:pPr>
      <w:r>
        <w:rPr>
          <w:rFonts w:hint="eastAsia"/>
          <w:color w:val="auto"/>
          <w:highlight w:val="none"/>
        </w:rPr>
        <w:t>“产品”系指供应商按谈判文件及合同要求，须向</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提供的相关商品。</w:t>
      </w:r>
    </w:p>
    <w:p w14:paraId="67E0F189">
      <w:pPr>
        <w:numPr>
          <w:ilvl w:val="1"/>
          <w:numId w:val="10"/>
        </w:numPr>
        <w:tabs>
          <w:tab w:val="left" w:pos="0"/>
        </w:tabs>
        <w:adjustRightInd w:val="0"/>
        <w:spacing w:line="360" w:lineRule="auto"/>
        <w:ind w:left="567" w:hanging="283"/>
        <w:rPr>
          <w:color w:val="auto"/>
          <w:highlight w:val="none"/>
        </w:rPr>
      </w:pPr>
      <w:r>
        <w:rPr>
          <w:rFonts w:hint="eastAsia"/>
          <w:color w:val="auto"/>
          <w:highlight w:val="none"/>
        </w:rPr>
        <w:t>“服务”系指谈判文件及合同规定，谈判供应商必须承担的相关产品质量服务和交付安装服务及其他类似的承诺义务。</w:t>
      </w:r>
    </w:p>
    <w:p w14:paraId="4CF59F8F">
      <w:pPr>
        <w:pStyle w:val="5"/>
        <w:numPr>
          <w:ilvl w:val="0"/>
          <w:numId w:val="9"/>
        </w:numPr>
        <w:adjustRightInd w:val="0"/>
        <w:rPr>
          <w:color w:val="auto"/>
          <w:sz w:val="24"/>
          <w:szCs w:val="21"/>
          <w:highlight w:val="none"/>
        </w:rPr>
      </w:pPr>
      <w:r>
        <w:rPr>
          <w:rFonts w:hint="eastAsia"/>
          <w:color w:val="auto"/>
          <w:sz w:val="24"/>
          <w:szCs w:val="21"/>
          <w:highlight w:val="none"/>
        </w:rPr>
        <w:t>项目概述</w:t>
      </w:r>
    </w:p>
    <w:p w14:paraId="6A21D1D5">
      <w:pPr>
        <w:numPr>
          <w:ilvl w:val="0"/>
          <w:numId w:val="11"/>
        </w:numPr>
        <w:spacing w:line="360" w:lineRule="auto"/>
        <w:ind w:firstLine="735"/>
        <w:rPr>
          <w:color w:val="auto"/>
          <w:highlight w:val="none"/>
          <w:u w:val="single"/>
        </w:rPr>
      </w:pPr>
      <w:r>
        <w:rPr>
          <w:rFonts w:hint="eastAsia"/>
          <w:color w:val="auto"/>
          <w:highlight w:val="none"/>
        </w:rPr>
        <w:t>标的物名称：</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p>
    <w:p w14:paraId="7928C4E8">
      <w:pPr>
        <w:numPr>
          <w:ilvl w:val="0"/>
          <w:numId w:val="11"/>
        </w:numPr>
        <w:spacing w:line="360" w:lineRule="auto"/>
        <w:ind w:firstLine="735"/>
        <w:rPr>
          <w:color w:val="auto"/>
          <w:highlight w:val="none"/>
        </w:rPr>
      </w:pPr>
      <w:r>
        <w:rPr>
          <w:rFonts w:hint="eastAsia"/>
          <w:color w:val="auto"/>
          <w:highlight w:val="none"/>
        </w:rPr>
        <w:t>采购数量：详见第三部分“项目要求”</w:t>
      </w:r>
    </w:p>
    <w:p w14:paraId="2860A4FD">
      <w:pPr>
        <w:numPr>
          <w:ilvl w:val="0"/>
          <w:numId w:val="11"/>
        </w:numPr>
        <w:spacing w:line="360" w:lineRule="auto"/>
        <w:ind w:firstLine="735"/>
        <w:rPr>
          <w:color w:val="auto"/>
          <w:highlight w:val="none"/>
        </w:rPr>
      </w:pPr>
      <w:r>
        <w:rPr>
          <w:rFonts w:hint="eastAsia"/>
          <w:color w:val="auto"/>
          <w:highlight w:val="none"/>
        </w:rPr>
        <w:t>本项目共有</w:t>
      </w:r>
      <w:r>
        <w:rPr>
          <w:rFonts w:hint="eastAsia"/>
          <w:color w:val="auto"/>
          <w:highlight w:val="none"/>
          <w:lang w:val="en-US" w:eastAsia="zh-CN"/>
        </w:rPr>
        <w:t>2</w:t>
      </w:r>
      <w:r>
        <w:rPr>
          <w:rFonts w:hint="eastAsia"/>
          <w:color w:val="auto"/>
          <w:highlight w:val="none"/>
        </w:rPr>
        <w:t>个合同包：</w:t>
      </w:r>
    </w:p>
    <w:p w14:paraId="71CFE418">
      <w:pPr>
        <w:pStyle w:val="2"/>
        <w:keepNext w:val="0"/>
        <w:keepLines w:val="0"/>
        <w:pageBreakBefore w:val="0"/>
        <w:widowControl w:val="0"/>
        <w:kinsoku/>
        <w:wordWrap/>
        <w:overflowPunct/>
        <w:topLinePunct w:val="0"/>
        <w:autoSpaceDE/>
        <w:autoSpaceDN/>
        <w:bidi w:val="0"/>
        <w:adjustRightInd/>
        <w:snapToGrid/>
        <w:spacing w:line="360" w:lineRule="auto"/>
        <w:ind w:firstLine="1050" w:firstLineChars="5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27A5487A">
      <w:pPr>
        <w:pStyle w:val="2"/>
        <w:keepNext w:val="0"/>
        <w:keepLines w:val="0"/>
        <w:pageBreakBefore w:val="0"/>
        <w:widowControl w:val="0"/>
        <w:kinsoku/>
        <w:wordWrap/>
        <w:overflowPunct/>
        <w:topLinePunct w:val="0"/>
        <w:autoSpaceDE/>
        <w:autoSpaceDN/>
        <w:bidi w:val="0"/>
        <w:adjustRightInd/>
        <w:snapToGrid/>
        <w:spacing w:line="360" w:lineRule="auto"/>
        <w:ind w:firstLine="1050" w:firstLineChars="500"/>
        <w:textAlignment w:val="auto"/>
        <w:rPr>
          <w:rFonts w:hint="default" w:ascii="宋体" w:hAnsi="宋体" w:eastAsia="宋体" w:cs="Arial"/>
          <w:b w:val="0"/>
          <w:color w:val="auto"/>
          <w:w w:val="100"/>
          <w:sz w:val="21"/>
          <w:szCs w:val="21"/>
          <w:highlight w:val="none"/>
          <w:lang w:val="en-US" w:eastAsia="zh-CN"/>
        </w:rPr>
      </w:pPr>
      <w:r>
        <w:rPr>
          <w:rFonts w:hint="eastAsia"/>
          <w:b w:val="0"/>
          <w:bCs w:val="0"/>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359635BB">
      <w:pPr>
        <w:numPr>
          <w:ilvl w:val="0"/>
          <w:numId w:val="11"/>
        </w:numPr>
        <w:spacing w:line="360" w:lineRule="auto"/>
        <w:ind w:firstLine="735"/>
        <w:rPr>
          <w:rFonts w:hint="default"/>
          <w:color w:val="auto"/>
          <w:highlight w:val="none"/>
        </w:rPr>
      </w:pPr>
      <w:r>
        <w:rPr>
          <w:rFonts w:hint="eastAsia"/>
          <w:color w:val="auto"/>
          <w:highlight w:val="none"/>
        </w:rPr>
        <w:t>交货地点：</w:t>
      </w:r>
      <w:r>
        <w:rPr>
          <w:rFonts w:hint="eastAsia" w:ascii="宋体" w:hAnsi="宋体" w:eastAsia="宋体" w:cs="宋体"/>
          <w:strike w:val="0"/>
          <w:dstrike w:val="0"/>
          <w:color w:val="auto"/>
          <w:sz w:val="24"/>
          <w:szCs w:val="24"/>
          <w:highlight w:val="none"/>
          <w:shd w:val="clear" w:color="auto" w:fill="FFFFFF"/>
          <w:lang w:val="en-US" w:eastAsia="zh-CN"/>
        </w:rPr>
        <w:t>供应商指定加油站</w:t>
      </w:r>
    </w:p>
    <w:p w14:paraId="69FB6F26">
      <w:pPr>
        <w:pStyle w:val="119"/>
        <w:keepNext w:val="0"/>
        <w:keepLines w:val="0"/>
        <w:numPr>
          <w:ilvl w:val="0"/>
          <w:numId w:val="6"/>
        </w:numPr>
        <w:suppressLineNumbers w:val="0"/>
        <w:spacing w:before="0" w:beforeAutospacing="0" w:after="0" w:afterAutospacing="0" w:line="360" w:lineRule="auto"/>
        <w:ind w:left="0" w:right="0" w:firstLine="426" w:firstLineChars="0"/>
        <w:jc w:val="left"/>
        <w:rPr>
          <w:rFonts w:hint="default"/>
          <w:b/>
          <w:color w:val="auto"/>
          <w:highlight w:val="none"/>
        </w:rPr>
      </w:pPr>
      <w:r>
        <w:rPr>
          <w:rFonts w:hint="eastAsia"/>
          <w:color w:val="auto"/>
          <w:highlight w:val="none"/>
        </w:rPr>
        <w:t xml:space="preserve">成交候选供应商数量为： </w:t>
      </w:r>
      <w:r>
        <w:rPr>
          <w:rFonts w:hint="eastAsia"/>
          <w:color w:val="auto"/>
          <w:highlight w:val="none"/>
          <w:lang w:val="en-US" w:eastAsia="zh-CN"/>
        </w:rPr>
        <w:t>2</w:t>
      </w:r>
      <w:r>
        <w:rPr>
          <w:rFonts w:hint="default"/>
          <w:color w:val="auto"/>
          <w:highlight w:val="none"/>
        </w:rPr>
        <w:t xml:space="preserve"> </w:t>
      </w:r>
      <w:r>
        <w:rPr>
          <w:rFonts w:hint="eastAsia"/>
          <w:color w:val="auto"/>
          <w:highlight w:val="none"/>
          <w:lang w:val="en-US" w:eastAsia="zh-CN"/>
        </w:rPr>
        <w:t>家</w:t>
      </w:r>
    </w:p>
    <w:p w14:paraId="1C019E01">
      <w:pPr>
        <w:numPr>
          <w:ilvl w:val="0"/>
          <w:numId w:val="0"/>
        </w:numPr>
        <w:tabs>
          <w:tab w:val="left" w:pos="0"/>
        </w:tabs>
        <w:adjustRightInd w:val="0"/>
        <w:spacing w:line="360" w:lineRule="auto"/>
        <w:ind w:left="426" w:leftChars="0" w:firstLine="420" w:firstLineChars="200"/>
        <w:rPr>
          <w:rFonts w:hint="default"/>
          <w:color w:val="auto"/>
          <w:highlight w:val="none"/>
        </w:rPr>
      </w:pPr>
      <w:r>
        <w:rPr>
          <w:rFonts w:hint="eastAsia"/>
          <w:color w:val="auto"/>
          <w:highlight w:val="none"/>
          <w:lang w:val="en-US" w:eastAsia="zh-CN"/>
        </w:rPr>
        <w:t>合同包1：位于‌北京大兴国际机场北京红线区域1家。</w:t>
      </w:r>
    </w:p>
    <w:p w14:paraId="426922C3">
      <w:pPr>
        <w:numPr>
          <w:ilvl w:val="0"/>
          <w:numId w:val="0"/>
        </w:numPr>
        <w:tabs>
          <w:tab w:val="left" w:pos="0"/>
        </w:tabs>
        <w:adjustRightInd w:val="0"/>
        <w:spacing w:line="360" w:lineRule="auto"/>
        <w:ind w:left="426" w:leftChars="0" w:firstLine="420" w:firstLineChars="200"/>
        <w:rPr>
          <w:rFonts w:hint="default"/>
          <w:color w:val="auto"/>
          <w:highlight w:val="none"/>
        </w:rPr>
      </w:pPr>
      <w:r>
        <w:rPr>
          <w:rFonts w:hint="eastAsia"/>
          <w:color w:val="auto"/>
          <w:highlight w:val="none"/>
          <w:lang w:val="en-US" w:eastAsia="zh-CN"/>
        </w:rPr>
        <w:t>合同包2：位于‌北京大兴国际机场临空经济区廊坊片区1家。</w:t>
      </w:r>
    </w:p>
    <w:p w14:paraId="67409FF3">
      <w:pPr>
        <w:pStyle w:val="2"/>
        <w:rPr>
          <w:rFonts w:hint="default"/>
          <w:highlight w:val="none"/>
        </w:rPr>
      </w:pPr>
    </w:p>
    <w:p w14:paraId="4C814622">
      <w:pPr>
        <w:pStyle w:val="5"/>
        <w:numPr>
          <w:ilvl w:val="0"/>
          <w:numId w:val="9"/>
        </w:numPr>
        <w:adjustRightInd w:val="0"/>
        <w:rPr>
          <w:color w:val="auto"/>
          <w:sz w:val="24"/>
          <w:szCs w:val="21"/>
          <w:highlight w:val="none"/>
        </w:rPr>
      </w:pPr>
      <w:r>
        <w:rPr>
          <w:rFonts w:hint="eastAsia"/>
          <w:color w:val="auto"/>
          <w:sz w:val="24"/>
          <w:szCs w:val="21"/>
          <w:highlight w:val="none"/>
        </w:rPr>
        <w:t>谈判供应商资质</w:t>
      </w:r>
    </w:p>
    <w:p w14:paraId="6EC67416">
      <w:pPr>
        <w:pStyle w:val="74"/>
        <w:numPr>
          <w:ilvl w:val="0"/>
          <w:numId w:val="12"/>
        </w:numPr>
        <w:tabs>
          <w:tab w:val="left" w:pos="0"/>
        </w:tabs>
        <w:adjustRightInd w:val="0"/>
        <w:spacing w:before="0" w:after="0"/>
        <w:ind w:firstLineChars="0"/>
        <w:rPr>
          <w:rFonts w:ascii="宋体" w:hAnsi="宋体"/>
          <w:b/>
          <w:bCs/>
          <w:vanish/>
          <w:color w:val="auto"/>
          <w:szCs w:val="21"/>
          <w:highlight w:val="none"/>
        </w:rPr>
      </w:pPr>
    </w:p>
    <w:p w14:paraId="13265C45">
      <w:pPr>
        <w:pStyle w:val="74"/>
        <w:numPr>
          <w:ilvl w:val="0"/>
          <w:numId w:val="12"/>
        </w:numPr>
        <w:tabs>
          <w:tab w:val="left" w:pos="0"/>
        </w:tabs>
        <w:adjustRightInd w:val="0"/>
        <w:spacing w:before="0" w:after="0"/>
        <w:ind w:firstLineChars="0"/>
        <w:rPr>
          <w:rFonts w:ascii="宋体" w:hAnsi="宋体"/>
          <w:b/>
          <w:bCs/>
          <w:vanish/>
          <w:color w:val="auto"/>
          <w:szCs w:val="21"/>
          <w:highlight w:val="none"/>
        </w:rPr>
      </w:pPr>
    </w:p>
    <w:p w14:paraId="0B104F88">
      <w:pPr>
        <w:pStyle w:val="74"/>
        <w:numPr>
          <w:ilvl w:val="0"/>
          <w:numId w:val="12"/>
        </w:numPr>
        <w:tabs>
          <w:tab w:val="left" w:pos="0"/>
        </w:tabs>
        <w:adjustRightInd w:val="0"/>
        <w:spacing w:before="0" w:after="0"/>
        <w:ind w:firstLineChars="0"/>
        <w:rPr>
          <w:rFonts w:ascii="宋体" w:hAnsi="宋体"/>
          <w:b/>
          <w:bCs/>
          <w:vanish/>
          <w:color w:val="auto"/>
          <w:szCs w:val="21"/>
          <w:highlight w:val="none"/>
        </w:rPr>
      </w:pPr>
    </w:p>
    <w:p w14:paraId="2001AA3F">
      <w:pPr>
        <w:numPr>
          <w:ilvl w:val="1"/>
          <w:numId w:val="12"/>
        </w:numPr>
        <w:tabs>
          <w:tab w:val="left" w:pos="0"/>
        </w:tabs>
        <w:adjustRightInd w:val="0"/>
        <w:spacing w:line="360" w:lineRule="auto"/>
        <w:ind w:left="0" w:firstLine="283" w:firstLineChars="135"/>
        <w:rPr>
          <w:rFonts w:hint="default" w:eastAsia="宋体"/>
          <w:color w:val="auto"/>
          <w:highlight w:val="none"/>
          <w:lang w:val="en-US" w:eastAsia="zh-CN"/>
        </w:rPr>
      </w:pPr>
      <w:r>
        <w:rPr>
          <w:color w:val="auto"/>
          <w:highlight w:val="none"/>
        </w:rPr>
        <w:t>具有法人资格或者具有独立承担民事责任的能力</w:t>
      </w:r>
      <w:r>
        <w:rPr>
          <w:rFonts w:hint="eastAsia"/>
          <w:color w:val="auto"/>
          <w:highlight w:val="none"/>
        </w:rPr>
        <w:t>；</w:t>
      </w:r>
    </w:p>
    <w:p w14:paraId="503B65A3">
      <w:pPr>
        <w:numPr>
          <w:ilvl w:val="1"/>
          <w:numId w:val="12"/>
        </w:numPr>
        <w:tabs>
          <w:tab w:val="left" w:pos="0"/>
        </w:tabs>
        <w:adjustRightInd w:val="0"/>
        <w:spacing w:line="360" w:lineRule="auto"/>
        <w:ind w:left="0" w:firstLine="283" w:firstLineChars="135"/>
        <w:rPr>
          <w:rFonts w:hint="default"/>
          <w:color w:val="auto"/>
          <w:highlight w:val="none"/>
          <w:lang w:val="en-US" w:eastAsia="zh-CN"/>
        </w:rPr>
      </w:pPr>
      <w:r>
        <w:rPr>
          <w:rFonts w:hint="eastAsia"/>
          <w:color w:val="auto"/>
          <w:highlight w:val="none"/>
          <w:lang w:val="en-US" w:eastAsia="zh-CN"/>
        </w:rPr>
        <w:t>未被工商行政管理机关在全国企业信用信息公示系统中列入严重违法失信企业名单；</w:t>
      </w:r>
    </w:p>
    <w:p w14:paraId="472BE559">
      <w:pPr>
        <w:numPr>
          <w:ilvl w:val="1"/>
          <w:numId w:val="12"/>
        </w:numPr>
        <w:tabs>
          <w:tab w:val="left" w:pos="0"/>
        </w:tabs>
        <w:adjustRightInd w:val="0"/>
        <w:spacing w:line="360" w:lineRule="auto"/>
        <w:ind w:left="0" w:firstLine="283" w:firstLineChars="135"/>
        <w:rPr>
          <w:color w:val="auto"/>
          <w:highlight w:val="none"/>
        </w:rPr>
      </w:pPr>
      <w:r>
        <w:rPr>
          <w:rFonts w:hint="eastAsia"/>
          <w:color w:val="auto"/>
          <w:highlight w:val="none"/>
          <w:lang w:val="en-US" w:eastAsia="zh-CN"/>
        </w:rPr>
        <w:t>未被最高人民法院在“信用中国”网站（www.creditchina.gov.cn）列入失信被执行人名单；</w:t>
      </w:r>
    </w:p>
    <w:p w14:paraId="5A4BDF9E">
      <w:pPr>
        <w:numPr>
          <w:ilvl w:val="1"/>
          <w:numId w:val="12"/>
        </w:numPr>
        <w:tabs>
          <w:tab w:val="left" w:pos="0"/>
        </w:tabs>
        <w:adjustRightInd w:val="0"/>
        <w:spacing w:line="360" w:lineRule="auto"/>
        <w:ind w:left="0" w:firstLine="283" w:firstLineChars="135"/>
        <w:rPr>
          <w:color w:val="auto"/>
          <w:highlight w:val="none"/>
        </w:rPr>
      </w:pPr>
      <w:r>
        <w:rPr>
          <w:rFonts w:hint="eastAsia"/>
          <w:color w:val="auto"/>
          <w:highlight w:val="none"/>
          <w:lang w:val="en-US" w:eastAsia="zh-CN"/>
        </w:rPr>
        <w:t>未被列入采购人《供应商黑名单》或被采购人处罚不得参与采购人采购项目；</w:t>
      </w:r>
    </w:p>
    <w:p w14:paraId="2AE84BF7">
      <w:pPr>
        <w:numPr>
          <w:ilvl w:val="1"/>
          <w:numId w:val="12"/>
        </w:numPr>
        <w:tabs>
          <w:tab w:val="left" w:pos="0"/>
        </w:tabs>
        <w:adjustRightInd w:val="0"/>
        <w:spacing w:line="360" w:lineRule="auto"/>
        <w:ind w:left="0" w:firstLine="283" w:firstLineChars="135"/>
        <w:rPr>
          <w:color w:val="auto"/>
          <w:highlight w:val="none"/>
        </w:rPr>
      </w:pPr>
      <w:r>
        <w:rPr>
          <w:color w:val="auto"/>
          <w:highlight w:val="none"/>
        </w:rPr>
        <w:t>能提供正规的</w:t>
      </w:r>
      <w:r>
        <w:rPr>
          <w:rFonts w:hint="eastAsia"/>
          <w:color w:val="auto"/>
          <w:highlight w:val="none"/>
        </w:rPr>
        <w:t>的</w:t>
      </w:r>
      <w:r>
        <w:rPr>
          <w:color w:val="auto"/>
          <w:highlight w:val="none"/>
        </w:rPr>
        <w:t>增值税专用发票</w:t>
      </w:r>
      <w:r>
        <w:rPr>
          <w:rFonts w:hint="eastAsia"/>
          <w:color w:val="auto"/>
          <w:highlight w:val="none"/>
        </w:rPr>
        <w:t>；</w:t>
      </w:r>
    </w:p>
    <w:p w14:paraId="35D5DACB">
      <w:pPr>
        <w:numPr>
          <w:ilvl w:val="1"/>
          <w:numId w:val="12"/>
        </w:numPr>
        <w:tabs>
          <w:tab w:val="left" w:pos="0"/>
        </w:tabs>
        <w:adjustRightInd w:val="0"/>
        <w:spacing w:line="360" w:lineRule="auto"/>
        <w:ind w:left="0" w:firstLine="283" w:firstLineChars="135"/>
        <w:rPr>
          <w:color w:val="auto"/>
          <w:highlight w:val="none"/>
        </w:rPr>
      </w:pPr>
      <w:r>
        <w:rPr>
          <w:rFonts w:hint="eastAsia"/>
          <w:color w:val="auto"/>
          <w:highlight w:val="none"/>
        </w:rPr>
        <w:t>法律、行政法规规定的其他条件。</w:t>
      </w:r>
    </w:p>
    <w:p w14:paraId="68FFABC6">
      <w:pPr>
        <w:pStyle w:val="5"/>
        <w:numPr>
          <w:ilvl w:val="0"/>
          <w:numId w:val="9"/>
        </w:numPr>
        <w:adjustRightInd w:val="0"/>
        <w:rPr>
          <w:color w:val="auto"/>
          <w:sz w:val="24"/>
          <w:szCs w:val="21"/>
          <w:highlight w:val="none"/>
        </w:rPr>
      </w:pPr>
      <w:r>
        <w:rPr>
          <w:rFonts w:hint="eastAsia"/>
          <w:color w:val="auto"/>
          <w:sz w:val="24"/>
          <w:szCs w:val="21"/>
          <w:highlight w:val="none"/>
        </w:rPr>
        <w:t>谈判费用</w:t>
      </w:r>
    </w:p>
    <w:p w14:paraId="164991F7">
      <w:pPr>
        <w:spacing w:line="360" w:lineRule="auto"/>
        <w:ind w:firstLine="420" w:firstLineChars="200"/>
        <w:rPr>
          <w:color w:val="auto"/>
          <w:highlight w:val="none"/>
        </w:rPr>
      </w:pPr>
      <w:r>
        <w:rPr>
          <w:rFonts w:hint="eastAsia"/>
          <w:color w:val="auto"/>
          <w:highlight w:val="none"/>
        </w:rPr>
        <w:t>谈判供应商应自行承担所有与谈判有关的费用，不论谈判的结果如何，</w:t>
      </w:r>
      <w:r>
        <w:rPr>
          <w:rFonts w:hint="eastAsia"/>
          <w:color w:val="auto"/>
          <w:highlight w:val="none"/>
          <w:lang w:eastAsia="zh-CN"/>
        </w:rPr>
        <w:t>采购</w:t>
      </w:r>
      <w:r>
        <w:rPr>
          <w:rFonts w:hint="eastAsia"/>
          <w:color w:val="auto"/>
          <w:highlight w:val="none"/>
          <w:lang w:val="en-US" w:eastAsia="zh-CN"/>
        </w:rPr>
        <w:t>人及采购人</w:t>
      </w:r>
      <w:r>
        <w:rPr>
          <w:rFonts w:hint="eastAsia"/>
          <w:color w:val="auto"/>
          <w:highlight w:val="none"/>
        </w:rPr>
        <w:t>在任何情况下均无义务和责任承担这些费用。</w:t>
      </w:r>
    </w:p>
    <w:p w14:paraId="68D12C41">
      <w:pPr>
        <w:pStyle w:val="5"/>
        <w:numPr>
          <w:ilvl w:val="0"/>
          <w:numId w:val="9"/>
        </w:numPr>
        <w:adjustRightInd w:val="0"/>
        <w:rPr>
          <w:color w:val="auto"/>
          <w:sz w:val="24"/>
          <w:szCs w:val="21"/>
          <w:highlight w:val="none"/>
        </w:rPr>
      </w:pPr>
      <w:r>
        <w:rPr>
          <w:rFonts w:hint="eastAsia"/>
          <w:color w:val="auto"/>
          <w:sz w:val="24"/>
          <w:szCs w:val="21"/>
          <w:highlight w:val="none"/>
        </w:rPr>
        <w:t xml:space="preserve">采购监督反馈联系方式： </w:t>
      </w:r>
      <w:r>
        <w:rPr>
          <w:rFonts w:hint="default" w:ascii="宋体" w:hAnsi="宋体" w:eastAsia="宋体" w:cs="Arial"/>
          <w:b w:val="0"/>
          <w:bCs w:val="0"/>
          <w:color w:val="auto"/>
          <w:kern w:val="2"/>
          <w:sz w:val="21"/>
          <w:szCs w:val="21"/>
          <w:highlight w:val="none"/>
          <w:lang w:val="en-US" w:eastAsia="zh-CN" w:bidi="ar-SA"/>
        </w:rPr>
        <w:t>电话：0592-2175100 邮箱：cgjd@xiamenair.com。</w:t>
      </w:r>
    </w:p>
    <w:p w14:paraId="34B7EF2D">
      <w:pPr>
        <w:pStyle w:val="5"/>
        <w:numPr>
          <w:ilvl w:val="0"/>
          <w:numId w:val="9"/>
        </w:numPr>
        <w:adjustRightInd w:val="0"/>
        <w:rPr>
          <w:color w:val="auto"/>
          <w:sz w:val="24"/>
          <w:szCs w:val="21"/>
          <w:highlight w:val="none"/>
        </w:rPr>
      </w:pPr>
      <w:r>
        <w:rPr>
          <w:color w:val="auto"/>
          <w:sz w:val="24"/>
          <w:szCs w:val="21"/>
          <w:highlight w:val="none"/>
        </w:rPr>
        <w:t>解释权</w:t>
      </w:r>
    </w:p>
    <w:p w14:paraId="77F1AA91">
      <w:pPr>
        <w:spacing w:line="360" w:lineRule="auto"/>
        <w:ind w:firstLine="426"/>
        <w:rPr>
          <w:color w:val="auto"/>
          <w:highlight w:val="none"/>
        </w:rPr>
      </w:pPr>
      <w:r>
        <w:rPr>
          <w:color w:val="auto"/>
          <w:highlight w:val="none"/>
        </w:rPr>
        <w:t>本次</w:t>
      </w:r>
      <w:r>
        <w:rPr>
          <w:rFonts w:hint="eastAsia"/>
          <w:color w:val="auto"/>
          <w:highlight w:val="none"/>
          <w:lang w:eastAsia="zh-CN"/>
        </w:rPr>
        <w:t>谈判</w:t>
      </w:r>
      <w:r>
        <w:rPr>
          <w:color w:val="auto"/>
          <w:highlight w:val="none"/>
        </w:rPr>
        <w:t>解释权归</w:t>
      </w:r>
      <w:r>
        <w:rPr>
          <w:rFonts w:hint="eastAsia"/>
          <w:color w:val="auto"/>
          <w:highlight w:val="none"/>
          <w:lang w:eastAsia="zh-CN"/>
        </w:rPr>
        <w:t>采购人</w:t>
      </w:r>
      <w:r>
        <w:rPr>
          <w:color w:val="auto"/>
          <w:highlight w:val="none"/>
        </w:rPr>
        <w:t>。</w:t>
      </w:r>
    </w:p>
    <w:p w14:paraId="572A5945">
      <w:pPr>
        <w:spacing w:line="360" w:lineRule="auto"/>
        <w:ind w:firstLine="426"/>
        <w:rPr>
          <w:color w:val="auto"/>
          <w:highlight w:val="none"/>
        </w:rPr>
      </w:pPr>
      <w:r>
        <w:rPr>
          <w:rFonts w:hint="eastAsia"/>
          <w:color w:val="auto"/>
          <w:highlight w:val="none"/>
        </w:rPr>
        <w:t>无论评审结果如何，</w:t>
      </w:r>
      <w:r>
        <w:rPr>
          <w:rFonts w:hint="eastAsia"/>
          <w:color w:val="auto"/>
          <w:highlight w:val="none"/>
          <w:lang w:eastAsia="zh-CN"/>
        </w:rPr>
        <w:t>采购人</w:t>
      </w:r>
      <w:r>
        <w:rPr>
          <w:rFonts w:hint="eastAsia"/>
          <w:color w:val="auto"/>
          <w:highlight w:val="none"/>
        </w:rPr>
        <w:t>均无向供应商解释其成交或未成交的义务。</w:t>
      </w:r>
    </w:p>
    <w:p w14:paraId="215EDA3C">
      <w:pPr>
        <w:pStyle w:val="76"/>
        <w:numPr>
          <w:ilvl w:val="0"/>
          <w:numId w:val="8"/>
        </w:numPr>
        <w:tabs>
          <w:tab w:val="left" w:pos="640"/>
        </w:tabs>
        <w:ind w:hanging="704"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lang w:val="en-US" w:eastAsia="zh-CN"/>
        </w:rPr>
        <w:t>谈判</w:t>
      </w:r>
      <w:r>
        <w:rPr>
          <w:rFonts w:hint="eastAsia" w:ascii="黑体" w:hAnsi="黑体" w:eastAsia="黑体" w:cs="仿宋"/>
          <w:color w:val="auto"/>
          <w:sz w:val="32"/>
          <w:szCs w:val="32"/>
          <w:highlight w:val="none"/>
        </w:rPr>
        <w:t>文件的组成</w:t>
      </w:r>
    </w:p>
    <w:p w14:paraId="0ADBDAD3">
      <w:pPr>
        <w:pStyle w:val="5"/>
        <w:numPr>
          <w:ilvl w:val="0"/>
          <w:numId w:val="13"/>
        </w:numPr>
        <w:adjustRightInd w:val="0"/>
        <w:rPr>
          <w:color w:val="auto"/>
          <w:sz w:val="24"/>
          <w:szCs w:val="21"/>
          <w:highlight w:val="none"/>
        </w:rPr>
      </w:pPr>
      <w:r>
        <w:rPr>
          <w:rFonts w:hint="eastAsia"/>
          <w:color w:val="auto"/>
          <w:sz w:val="24"/>
          <w:szCs w:val="21"/>
          <w:highlight w:val="none"/>
          <w:lang w:val="en-US" w:eastAsia="zh-CN"/>
        </w:rPr>
        <w:t>谈判</w:t>
      </w:r>
      <w:r>
        <w:rPr>
          <w:rFonts w:hint="eastAsia"/>
          <w:color w:val="auto"/>
          <w:sz w:val="24"/>
          <w:szCs w:val="21"/>
          <w:highlight w:val="none"/>
        </w:rPr>
        <w:t>文件的组成</w:t>
      </w:r>
    </w:p>
    <w:p w14:paraId="37A528CB">
      <w:pPr>
        <w:pStyle w:val="5"/>
        <w:keepNext w:val="0"/>
        <w:keepLines w:val="0"/>
        <w:numPr>
          <w:ilvl w:val="1"/>
          <w:numId w:val="14"/>
        </w:numPr>
        <w:adjustRightInd w:val="0"/>
        <w:spacing w:before="0" w:after="0" w:line="360" w:lineRule="auto"/>
        <w:ind w:left="0" w:firstLine="420" w:firstLineChars="200"/>
        <w:rPr>
          <w:color w:val="auto"/>
          <w:highlight w:val="none"/>
        </w:rPr>
      </w:pPr>
      <w:r>
        <w:rPr>
          <w:rFonts w:hint="eastAsia"/>
          <w:b w:val="0"/>
          <w:color w:val="auto"/>
          <w:sz w:val="21"/>
          <w:szCs w:val="21"/>
          <w:highlight w:val="none"/>
        </w:rPr>
        <w:t>谈判文件用以阐明所需设备及服务、谈判程序和合同条款。谈判文件由以下部分组成：</w:t>
      </w:r>
    </w:p>
    <w:p w14:paraId="51EA2FF5">
      <w:pPr>
        <w:pStyle w:val="119"/>
        <w:numPr>
          <w:ilvl w:val="2"/>
          <w:numId w:val="15"/>
        </w:numPr>
        <w:spacing w:line="360" w:lineRule="auto"/>
        <w:ind w:left="1276" w:hanging="567" w:firstLineChars="0"/>
        <w:rPr>
          <w:color w:val="auto"/>
          <w:highlight w:val="none"/>
        </w:rPr>
      </w:pPr>
      <w:r>
        <w:rPr>
          <w:rFonts w:hint="eastAsia"/>
          <w:color w:val="auto"/>
          <w:highlight w:val="none"/>
        </w:rPr>
        <w:t>谈判邀请函；</w:t>
      </w:r>
    </w:p>
    <w:p w14:paraId="2EB16271">
      <w:pPr>
        <w:pStyle w:val="119"/>
        <w:numPr>
          <w:ilvl w:val="2"/>
          <w:numId w:val="15"/>
        </w:numPr>
        <w:spacing w:line="360" w:lineRule="auto"/>
        <w:ind w:left="1276" w:hanging="567" w:firstLineChars="0"/>
        <w:rPr>
          <w:color w:val="auto"/>
          <w:highlight w:val="none"/>
        </w:rPr>
      </w:pPr>
      <w:r>
        <w:rPr>
          <w:rFonts w:hint="eastAsia"/>
          <w:color w:val="auto"/>
          <w:highlight w:val="none"/>
        </w:rPr>
        <w:t>谈判供应商须知；</w:t>
      </w:r>
    </w:p>
    <w:p w14:paraId="33DBFCBC">
      <w:pPr>
        <w:pStyle w:val="119"/>
        <w:numPr>
          <w:ilvl w:val="2"/>
          <w:numId w:val="15"/>
        </w:numPr>
        <w:spacing w:line="360" w:lineRule="auto"/>
        <w:ind w:left="1276" w:hanging="567" w:firstLineChars="0"/>
        <w:rPr>
          <w:color w:val="auto"/>
          <w:highlight w:val="none"/>
        </w:rPr>
      </w:pPr>
      <w:r>
        <w:rPr>
          <w:rFonts w:hint="eastAsia"/>
          <w:color w:val="auto"/>
          <w:highlight w:val="none"/>
        </w:rPr>
        <w:t>采购需求；</w:t>
      </w:r>
    </w:p>
    <w:p w14:paraId="6B1EE8E6">
      <w:pPr>
        <w:pStyle w:val="119"/>
        <w:numPr>
          <w:ilvl w:val="2"/>
          <w:numId w:val="15"/>
        </w:numPr>
        <w:spacing w:line="360" w:lineRule="auto"/>
        <w:ind w:left="1276" w:hanging="567" w:firstLineChars="0"/>
        <w:rPr>
          <w:color w:val="auto"/>
          <w:highlight w:val="none"/>
        </w:rPr>
      </w:pPr>
      <w:r>
        <w:rPr>
          <w:rFonts w:hint="eastAsia"/>
          <w:color w:val="auto"/>
          <w:highlight w:val="none"/>
        </w:rPr>
        <w:t>部分合同条款；</w:t>
      </w:r>
    </w:p>
    <w:p w14:paraId="7E0B11A7">
      <w:pPr>
        <w:pStyle w:val="119"/>
        <w:numPr>
          <w:ilvl w:val="2"/>
          <w:numId w:val="15"/>
        </w:numPr>
        <w:spacing w:line="360" w:lineRule="auto"/>
        <w:ind w:left="1276" w:hanging="567" w:firstLineChars="0"/>
        <w:rPr>
          <w:color w:val="auto"/>
          <w:highlight w:val="none"/>
        </w:rPr>
      </w:pPr>
      <w:r>
        <w:rPr>
          <w:rFonts w:hint="eastAsia"/>
          <w:color w:val="auto"/>
          <w:highlight w:val="none"/>
        </w:rPr>
        <w:t>响应文件格式。</w:t>
      </w:r>
    </w:p>
    <w:p w14:paraId="20C74378">
      <w:pPr>
        <w:pStyle w:val="5"/>
        <w:keepNext w:val="0"/>
        <w:keepLines w:val="0"/>
        <w:numPr>
          <w:ilvl w:val="1"/>
          <w:numId w:val="14"/>
        </w:numPr>
        <w:adjustRightInd w:val="0"/>
        <w:spacing w:before="0" w:after="0" w:line="360" w:lineRule="auto"/>
        <w:ind w:left="0" w:firstLine="420" w:firstLineChars="200"/>
        <w:rPr>
          <w:color w:val="auto"/>
          <w:highlight w:val="none"/>
        </w:rPr>
      </w:pPr>
      <w:r>
        <w:rPr>
          <w:rFonts w:hint="eastAsia"/>
          <w:b w:val="0"/>
          <w:color w:val="auto"/>
          <w:sz w:val="21"/>
          <w:szCs w:val="21"/>
          <w:highlight w:val="none"/>
          <w:lang w:val="en-US" w:eastAsia="zh-CN"/>
        </w:rPr>
        <w:t>采购人</w:t>
      </w:r>
      <w:r>
        <w:rPr>
          <w:rFonts w:hint="eastAsia"/>
          <w:b w:val="0"/>
          <w:color w:val="auto"/>
          <w:sz w:val="21"/>
          <w:szCs w:val="21"/>
          <w:highlight w:val="none"/>
        </w:rPr>
        <w:t>在邀请期间发出的补充通知及其他正式有效函件，均是谈判文件的组成部分。</w:t>
      </w:r>
    </w:p>
    <w:p w14:paraId="319B6E0B">
      <w:pPr>
        <w:pStyle w:val="5"/>
        <w:keepNext w:val="0"/>
        <w:keepLines w:val="0"/>
        <w:numPr>
          <w:ilvl w:val="1"/>
          <w:numId w:val="14"/>
        </w:numPr>
        <w:adjustRightInd w:val="0"/>
        <w:spacing w:before="0" w:after="0" w:line="360" w:lineRule="auto"/>
        <w:ind w:left="0" w:firstLine="420" w:firstLineChars="200"/>
        <w:rPr>
          <w:color w:val="auto"/>
          <w:highlight w:val="none"/>
        </w:rPr>
      </w:pPr>
      <w:r>
        <w:rPr>
          <w:rFonts w:hint="eastAsia"/>
          <w:b w:val="0"/>
          <w:color w:val="auto"/>
          <w:sz w:val="21"/>
          <w:szCs w:val="21"/>
          <w:highlight w:val="none"/>
        </w:rPr>
        <w:t>谈判供应商应认真阅读谈判文件中所有的事项、格式、条款和规范等要求。如果没有按照谈判文件要求提交全部资料或者响应文件，虽没有对报价文件产生实质性影响，该报价也有可能被拒绝，其风险应由谈判供应商自行承担。</w:t>
      </w:r>
    </w:p>
    <w:p w14:paraId="484D0C9A">
      <w:pPr>
        <w:pStyle w:val="5"/>
        <w:keepNext w:val="0"/>
        <w:keepLines w:val="0"/>
        <w:numPr>
          <w:ilvl w:val="1"/>
          <w:numId w:val="14"/>
        </w:numPr>
        <w:adjustRightInd w:val="0"/>
        <w:spacing w:before="0" w:after="0" w:line="360" w:lineRule="auto"/>
        <w:ind w:left="0" w:firstLine="420" w:firstLineChars="200"/>
        <w:rPr>
          <w:color w:val="auto"/>
          <w:highlight w:val="none"/>
        </w:rPr>
      </w:pPr>
      <w:r>
        <w:rPr>
          <w:rFonts w:hint="eastAsia"/>
          <w:b w:val="0"/>
          <w:color w:val="auto"/>
          <w:sz w:val="21"/>
          <w:szCs w:val="21"/>
          <w:highlight w:val="none"/>
        </w:rPr>
        <w:t>除非有特殊要求，谈判文件不单独提供项目所在地的自然环境、气候条件、公用设施等情况，供应商被视为熟悉上述与履行合同有关的一切情况。</w:t>
      </w:r>
    </w:p>
    <w:p w14:paraId="7575CD3F">
      <w:pPr>
        <w:pStyle w:val="76"/>
        <w:numPr>
          <w:ilvl w:val="0"/>
          <w:numId w:val="8"/>
        </w:numPr>
        <w:adjustRightInd w:val="0"/>
        <w:ind w:left="425" w:hanging="425"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lang w:val="en-US" w:eastAsia="zh-CN"/>
        </w:rPr>
        <w:t>谈判</w:t>
      </w:r>
      <w:r>
        <w:rPr>
          <w:rFonts w:hint="eastAsia" w:ascii="黑体" w:hAnsi="黑体" w:eastAsia="黑体" w:cs="仿宋"/>
          <w:color w:val="auto"/>
          <w:sz w:val="32"/>
          <w:szCs w:val="32"/>
          <w:highlight w:val="none"/>
        </w:rPr>
        <w:t>文件的澄清和修改</w:t>
      </w:r>
    </w:p>
    <w:p w14:paraId="49987DAC">
      <w:pPr>
        <w:pStyle w:val="5"/>
        <w:numPr>
          <w:ilvl w:val="0"/>
          <w:numId w:val="16"/>
        </w:numPr>
        <w:adjustRightInd w:val="0"/>
        <w:rPr>
          <w:color w:val="auto"/>
          <w:sz w:val="24"/>
          <w:szCs w:val="21"/>
          <w:highlight w:val="none"/>
        </w:rPr>
      </w:pPr>
      <w:r>
        <w:rPr>
          <w:rFonts w:hint="eastAsia"/>
          <w:color w:val="auto"/>
          <w:sz w:val="24"/>
          <w:szCs w:val="21"/>
          <w:highlight w:val="none"/>
          <w:lang w:eastAsia="zh-CN"/>
        </w:rPr>
        <w:t>谈判文件</w:t>
      </w:r>
      <w:r>
        <w:rPr>
          <w:rFonts w:hint="eastAsia"/>
          <w:color w:val="auto"/>
          <w:sz w:val="24"/>
          <w:szCs w:val="21"/>
          <w:highlight w:val="none"/>
        </w:rPr>
        <w:t>的澄清</w:t>
      </w:r>
    </w:p>
    <w:p w14:paraId="3E572DE3">
      <w:pPr>
        <w:pStyle w:val="5"/>
        <w:keepNext w:val="0"/>
        <w:keepLines w:val="0"/>
        <w:numPr>
          <w:ilvl w:val="1"/>
          <w:numId w:val="17"/>
        </w:numPr>
        <w:adjustRightInd w:val="0"/>
        <w:spacing w:before="0" w:after="0" w:line="360" w:lineRule="auto"/>
        <w:ind w:left="0" w:firstLine="420" w:firstLineChars="200"/>
        <w:rPr>
          <w:b w:val="0"/>
          <w:color w:val="auto"/>
          <w:sz w:val="21"/>
          <w:szCs w:val="21"/>
          <w:highlight w:val="none"/>
        </w:rPr>
      </w:pPr>
      <w:r>
        <w:rPr>
          <w:rFonts w:hint="eastAsia"/>
          <w:b w:val="0"/>
          <w:color w:val="auto"/>
          <w:sz w:val="21"/>
          <w:szCs w:val="21"/>
          <w:highlight w:val="none"/>
        </w:rPr>
        <w:t>供应商应仔细阅读和检查</w:t>
      </w:r>
      <w:r>
        <w:rPr>
          <w:rFonts w:hint="eastAsia"/>
          <w:b w:val="0"/>
          <w:color w:val="auto"/>
          <w:sz w:val="21"/>
          <w:szCs w:val="21"/>
          <w:highlight w:val="none"/>
          <w:lang w:eastAsia="zh-CN"/>
        </w:rPr>
        <w:t>谈判文件</w:t>
      </w:r>
      <w:r>
        <w:rPr>
          <w:rFonts w:hint="eastAsia"/>
          <w:b w:val="0"/>
          <w:color w:val="auto"/>
          <w:sz w:val="21"/>
          <w:szCs w:val="21"/>
          <w:highlight w:val="none"/>
        </w:rPr>
        <w:t>的全部内容。如有遗漏或内容不全，应及时向</w:t>
      </w:r>
      <w:r>
        <w:rPr>
          <w:rFonts w:hint="eastAsia"/>
          <w:b w:val="0"/>
          <w:color w:val="auto"/>
          <w:sz w:val="21"/>
          <w:szCs w:val="21"/>
          <w:highlight w:val="none"/>
          <w:lang w:eastAsia="zh-CN"/>
        </w:rPr>
        <w:t>采购人</w:t>
      </w:r>
      <w:r>
        <w:rPr>
          <w:rFonts w:hint="eastAsia"/>
          <w:b w:val="0"/>
          <w:color w:val="auto"/>
          <w:sz w:val="21"/>
          <w:szCs w:val="21"/>
          <w:highlight w:val="none"/>
        </w:rPr>
        <w:t>提出，以便补齐。由于供应商对</w:t>
      </w:r>
      <w:r>
        <w:rPr>
          <w:rFonts w:hint="eastAsia"/>
          <w:b w:val="0"/>
          <w:color w:val="auto"/>
          <w:sz w:val="21"/>
          <w:szCs w:val="21"/>
          <w:highlight w:val="none"/>
          <w:lang w:eastAsia="zh-CN"/>
        </w:rPr>
        <w:t>谈判文件</w:t>
      </w:r>
      <w:r>
        <w:rPr>
          <w:rFonts w:hint="eastAsia"/>
          <w:b w:val="0"/>
          <w:color w:val="auto"/>
          <w:sz w:val="21"/>
          <w:szCs w:val="21"/>
          <w:highlight w:val="none"/>
        </w:rPr>
        <w:t>的任何误解和忽略，导致报价失误或</w:t>
      </w:r>
      <w:r>
        <w:rPr>
          <w:rFonts w:hint="eastAsia"/>
          <w:b w:val="0"/>
          <w:color w:val="auto"/>
          <w:sz w:val="21"/>
          <w:szCs w:val="21"/>
          <w:highlight w:val="none"/>
          <w:lang w:val="en-US" w:eastAsia="zh-CN"/>
        </w:rPr>
        <w:t>成交</w:t>
      </w:r>
      <w:r>
        <w:rPr>
          <w:rFonts w:hint="eastAsia"/>
          <w:b w:val="0"/>
          <w:color w:val="auto"/>
          <w:sz w:val="21"/>
          <w:szCs w:val="21"/>
          <w:highlight w:val="none"/>
        </w:rPr>
        <w:t>后发生任何风险，其责任自负</w:t>
      </w:r>
      <w:r>
        <w:rPr>
          <w:b w:val="0"/>
          <w:color w:val="auto"/>
          <w:sz w:val="21"/>
          <w:szCs w:val="21"/>
          <w:highlight w:val="none"/>
        </w:rPr>
        <w:t>。</w:t>
      </w:r>
    </w:p>
    <w:p w14:paraId="0AEB736F">
      <w:pPr>
        <w:pStyle w:val="5"/>
        <w:keepNext w:val="0"/>
        <w:keepLines w:val="0"/>
        <w:numPr>
          <w:ilvl w:val="1"/>
          <w:numId w:val="17"/>
        </w:numPr>
        <w:adjustRightInd w:val="0"/>
        <w:spacing w:before="0" w:after="0" w:line="360" w:lineRule="auto"/>
        <w:ind w:left="0" w:firstLine="420" w:firstLineChars="200"/>
        <w:rPr>
          <w:b w:val="0"/>
          <w:color w:val="auto"/>
          <w:sz w:val="21"/>
          <w:szCs w:val="21"/>
          <w:highlight w:val="none"/>
        </w:rPr>
      </w:pPr>
      <w:r>
        <w:rPr>
          <w:rFonts w:hint="eastAsia"/>
          <w:b w:val="0"/>
          <w:color w:val="auto"/>
          <w:sz w:val="21"/>
          <w:szCs w:val="21"/>
          <w:highlight w:val="none"/>
        </w:rPr>
        <w:t>任何要求澄清谈判文件或对谈判文件提出质疑的供应商，均应在报价截止日三个工作日前按谈判文件邀请函的通讯地址以电子邮件和或其他</w:t>
      </w:r>
      <w:r>
        <w:rPr>
          <w:rFonts w:hint="eastAsia"/>
          <w:b w:val="0"/>
          <w:color w:val="auto"/>
          <w:sz w:val="21"/>
          <w:szCs w:val="21"/>
          <w:highlight w:val="none"/>
          <w:lang w:eastAsia="zh-CN"/>
        </w:rPr>
        <w:t>采购人</w:t>
      </w:r>
      <w:r>
        <w:rPr>
          <w:rFonts w:hint="eastAsia"/>
          <w:b w:val="0"/>
          <w:color w:val="auto"/>
          <w:sz w:val="21"/>
          <w:szCs w:val="21"/>
          <w:highlight w:val="none"/>
        </w:rPr>
        <w:t>认可的通讯方式通知</w:t>
      </w:r>
      <w:r>
        <w:rPr>
          <w:rFonts w:hint="eastAsia"/>
          <w:b w:val="0"/>
          <w:color w:val="auto"/>
          <w:sz w:val="21"/>
          <w:szCs w:val="21"/>
          <w:highlight w:val="none"/>
          <w:lang w:eastAsia="zh-CN"/>
        </w:rPr>
        <w:t>采购人</w:t>
      </w:r>
      <w:r>
        <w:rPr>
          <w:rFonts w:hint="eastAsia"/>
          <w:b w:val="0"/>
          <w:color w:val="auto"/>
          <w:sz w:val="21"/>
          <w:szCs w:val="21"/>
          <w:highlight w:val="none"/>
        </w:rPr>
        <w:t>，</w:t>
      </w:r>
      <w:r>
        <w:rPr>
          <w:rFonts w:hint="eastAsia"/>
          <w:b w:val="0"/>
          <w:color w:val="auto"/>
          <w:sz w:val="21"/>
          <w:szCs w:val="21"/>
          <w:highlight w:val="none"/>
          <w:lang w:eastAsia="zh-CN"/>
        </w:rPr>
        <w:t>采购人</w:t>
      </w:r>
      <w:r>
        <w:rPr>
          <w:rFonts w:hint="eastAsia"/>
          <w:b w:val="0"/>
          <w:color w:val="auto"/>
          <w:sz w:val="21"/>
          <w:szCs w:val="21"/>
          <w:highlight w:val="none"/>
        </w:rPr>
        <w:t>将以书面形式予以答复。未在上述规定的时间内要求澄清或提出质疑的</w:t>
      </w:r>
      <w:r>
        <w:rPr>
          <w:b w:val="0"/>
          <w:color w:val="auto"/>
          <w:sz w:val="21"/>
          <w:szCs w:val="21"/>
          <w:highlight w:val="none"/>
        </w:rPr>
        <w:t>,其</w:t>
      </w:r>
      <w:r>
        <w:rPr>
          <w:rFonts w:hint="eastAsia"/>
          <w:b w:val="0"/>
          <w:color w:val="auto"/>
          <w:sz w:val="21"/>
          <w:szCs w:val="21"/>
          <w:highlight w:val="none"/>
        </w:rPr>
        <w:t>澄清要求或</w:t>
      </w:r>
      <w:r>
        <w:rPr>
          <w:b w:val="0"/>
          <w:color w:val="auto"/>
          <w:sz w:val="21"/>
          <w:szCs w:val="21"/>
          <w:highlight w:val="none"/>
        </w:rPr>
        <w:t>提出</w:t>
      </w:r>
      <w:r>
        <w:rPr>
          <w:rFonts w:hint="eastAsia"/>
          <w:b w:val="0"/>
          <w:color w:val="auto"/>
          <w:sz w:val="21"/>
          <w:szCs w:val="21"/>
          <w:highlight w:val="none"/>
        </w:rPr>
        <w:t>的</w:t>
      </w:r>
      <w:r>
        <w:rPr>
          <w:b w:val="0"/>
          <w:color w:val="auto"/>
          <w:sz w:val="21"/>
          <w:szCs w:val="21"/>
          <w:highlight w:val="none"/>
        </w:rPr>
        <w:t>质疑</w:t>
      </w:r>
      <w:r>
        <w:rPr>
          <w:rFonts w:hint="eastAsia"/>
          <w:b w:val="0"/>
          <w:color w:val="auto"/>
          <w:sz w:val="21"/>
          <w:szCs w:val="21"/>
          <w:highlight w:val="none"/>
          <w:lang w:eastAsia="zh-CN"/>
        </w:rPr>
        <w:t>采购人</w:t>
      </w:r>
      <w:r>
        <w:rPr>
          <w:rFonts w:hint="eastAsia"/>
          <w:b w:val="0"/>
          <w:color w:val="auto"/>
          <w:sz w:val="21"/>
          <w:szCs w:val="21"/>
          <w:highlight w:val="none"/>
        </w:rPr>
        <w:t>有权</w:t>
      </w:r>
      <w:r>
        <w:rPr>
          <w:b w:val="0"/>
          <w:color w:val="auto"/>
          <w:sz w:val="21"/>
          <w:szCs w:val="21"/>
          <w:highlight w:val="none"/>
        </w:rPr>
        <w:t>拒绝</w:t>
      </w:r>
      <w:r>
        <w:rPr>
          <w:rFonts w:hint="eastAsia"/>
          <w:b w:val="0"/>
          <w:color w:val="auto"/>
          <w:sz w:val="21"/>
          <w:szCs w:val="21"/>
          <w:highlight w:val="none"/>
        </w:rPr>
        <w:t>。</w:t>
      </w:r>
    </w:p>
    <w:p w14:paraId="6E12BBE5">
      <w:pPr>
        <w:pStyle w:val="5"/>
        <w:numPr>
          <w:ilvl w:val="0"/>
          <w:numId w:val="16"/>
        </w:numPr>
        <w:adjustRightInd w:val="0"/>
        <w:rPr>
          <w:color w:val="auto"/>
          <w:sz w:val="24"/>
          <w:szCs w:val="21"/>
          <w:highlight w:val="none"/>
        </w:rPr>
      </w:pPr>
      <w:r>
        <w:rPr>
          <w:rFonts w:hint="eastAsia"/>
          <w:color w:val="auto"/>
          <w:sz w:val="24"/>
          <w:szCs w:val="21"/>
          <w:highlight w:val="none"/>
        </w:rPr>
        <w:t>谈判文件的修改</w:t>
      </w:r>
    </w:p>
    <w:p w14:paraId="1D0E61F8">
      <w:pPr>
        <w:pStyle w:val="119"/>
        <w:numPr>
          <w:ilvl w:val="0"/>
          <w:numId w:val="17"/>
        </w:numPr>
        <w:tabs>
          <w:tab w:val="left" w:pos="0"/>
        </w:tabs>
        <w:adjustRightInd w:val="0"/>
        <w:spacing w:line="360" w:lineRule="auto"/>
        <w:ind w:firstLineChars="0"/>
        <w:rPr>
          <w:vanish/>
          <w:color w:val="auto"/>
          <w:highlight w:val="none"/>
        </w:rPr>
      </w:pPr>
    </w:p>
    <w:p w14:paraId="421E5918">
      <w:pPr>
        <w:numPr>
          <w:ilvl w:val="1"/>
          <w:numId w:val="17"/>
        </w:numPr>
        <w:tabs>
          <w:tab w:val="left" w:pos="0"/>
        </w:tabs>
        <w:adjustRightInd w:val="0"/>
        <w:spacing w:line="360" w:lineRule="auto"/>
        <w:ind w:left="0" w:firstLine="426"/>
        <w:rPr>
          <w:color w:val="auto"/>
          <w:highlight w:val="none"/>
        </w:rPr>
      </w:pPr>
      <w:r>
        <w:rPr>
          <w:rFonts w:hint="eastAsia"/>
          <w:color w:val="auto"/>
          <w:highlight w:val="none"/>
        </w:rPr>
        <w:t>在报价截止日期前的任何时候，无论出于何种原因，</w:t>
      </w:r>
      <w:r>
        <w:rPr>
          <w:rFonts w:hint="eastAsia"/>
          <w:color w:val="auto"/>
          <w:highlight w:val="none"/>
          <w:lang w:eastAsia="zh-CN"/>
        </w:rPr>
        <w:t>采购人</w:t>
      </w:r>
      <w:r>
        <w:rPr>
          <w:rFonts w:hint="eastAsia"/>
          <w:color w:val="auto"/>
          <w:highlight w:val="none"/>
        </w:rPr>
        <w:t>可主动或在解答谈判供应商提出的问题时对谈判文件进行修改。</w:t>
      </w:r>
    </w:p>
    <w:p w14:paraId="70F5D1BF">
      <w:pPr>
        <w:numPr>
          <w:ilvl w:val="1"/>
          <w:numId w:val="17"/>
        </w:numPr>
        <w:tabs>
          <w:tab w:val="left" w:pos="0"/>
        </w:tabs>
        <w:adjustRightInd w:val="0"/>
        <w:spacing w:line="360" w:lineRule="auto"/>
        <w:ind w:left="0" w:firstLine="426"/>
        <w:rPr>
          <w:color w:val="auto"/>
          <w:highlight w:val="none"/>
        </w:rPr>
      </w:pPr>
      <w:r>
        <w:rPr>
          <w:rFonts w:hint="eastAsia"/>
          <w:color w:val="auto"/>
          <w:highlight w:val="none"/>
        </w:rPr>
        <w:t>谈判文件的修改将以书面形式通知所有接受谈判文件的谈判供应商，</w:t>
      </w:r>
      <w:r>
        <w:rPr>
          <w:rFonts w:hint="eastAsia"/>
          <w:color w:val="auto"/>
          <w:highlight w:val="none"/>
          <w:lang w:eastAsia="zh-CN"/>
        </w:rPr>
        <w:t>谈判文件</w:t>
      </w:r>
      <w:r>
        <w:rPr>
          <w:rFonts w:hint="eastAsia"/>
          <w:color w:val="auto"/>
          <w:highlight w:val="none"/>
        </w:rPr>
        <w:t>的修改、增补、删减、解释等文件将构成今后具有法律约束力的合同文件的一部分，并对所有供应商具有约束力。</w:t>
      </w:r>
    </w:p>
    <w:p w14:paraId="19FC4D70">
      <w:pPr>
        <w:numPr>
          <w:ilvl w:val="1"/>
          <w:numId w:val="17"/>
        </w:numPr>
        <w:tabs>
          <w:tab w:val="left" w:pos="0"/>
        </w:tabs>
        <w:adjustRightInd w:val="0"/>
        <w:spacing w:line="360" w:lineRule="auto"/>
        <w:ind w:left="0" w:firstLine="420" w:firstLineChars="200"/>
        <w:rPr>
          <w:color w:val="auto"/>
          <w:highlight w:val="none"/>
        </w:rPr>
      </w:pPr>
      <w:r>
        <w:rPr>
          <w:rFonts w:hint="eastAsia"/>
          <w:color w:val="auto"/>
          <w:highlight w:val="none"/>
        </w:rPr>
        <w:t>供应商在收到补充文件后，供应商需通过邮件或电话方式通知</w:t>
      </w:r>
      <w:r>
        <w:rPr>
          <w:rFonts w:hint="eastAsia"/>
          <w:color w:val="auto"/>
          <w:highlight w:val="none"/>
          <w:lang w:eastAsia="zh-CN"/>
        </w:rPr>
        <w:t>采购人</w:t>
      </w:r>
      <w:r>
        <w:rPr>
          <w:rFonts w:hint="eastAsia"/>
          <w:color w:val="auto"/>
          <w:highlight w:val="none"/>
        </w:rPr>
        <w:t>，确认已收到该补充文件。</w:t>
      </w:r>
    </w:p>
    <w:p w14:paraId="015CDC6A">
      <w:pPr>
        <w:numPr>
          <w:ilvl w:val="1"/>
          <w:numId w:val="17"/>
        </w:numPr>
        <w:tabs>
          <w:tab w:val="left" w:pos="0"/>
        </w:tabs>
        <w:adjustRightInd w:val="0"/>
        <w:spacing w:line="360" w:lineRule="auto"/>
        <w:ind w:left="0" w:firstLine="426"/>
        <w:rPr>
          <w:color w:val="auto"/>
          <w:highlight w:val="none"/>
        </w:rPr>
      </w:pPr>
      <w:r>
        <w:rPr>
          <w:rFonts w:hint="eastAsia"/>
          <w:color w:val="auto"/>
          <w:highlight w:val="none"/>
        </w:rPr>
        <w:t>超过报价截止时间，在项目谈判有效期内，供应商不得撤销报价</w:t>
      </w:r>
      <w:r>
        <w:rPr>
          <w:color w:val="auto"/>
          <w:highlight w:val="none"/>
        </w:rPr>
        <w:t>文件</w:t>
      </w:r>
      <w:r>
        <w:rPr>
          <w:rFonts w:hint="eastAsia"/>
          <w:color w:val="auto"/>
          <w:highlight w:val="none"/>
        </w:rPr>
        <w:t>。</w:t>
      </w:r>
    </w:p>
    <w:p w14:paraId="6CBD924D">
      <w:pPr>
        <w:numPr>
          <w:ilvl w:val="1"/>
          <w:numId w:val="17"/>
        </w:numPr>
        <w:tabs>
          <w:tab w:val="left" w:pos="0"/>
        </w:tabs>
        <w:adjustRightInd w:val="0"/>
        <w:spacing w:line="360" w:lineRule="auto"/>
        <w:ind w:left="0" w:firstLine="426"/>
        <w:rPr>
          <w:color w:val="auto"/>
          <w:highlight w:val="none"/>
        </w:rPr>
      </w:pPr>
      <w:r>
        <w:rPr>
          <w:rFonts w:hint="eastAsia"/>
          <w:color w:val="auto"/>
          <w:highlight w:val="none"/>
          <w:lang w:eastAsia="zh-CN"/>
        </w:rPr>
        <w:t>谈判文件</w:t>
      </w:r>
      <w:r>
        <w:rPr>
          <w:rFonts w:hint="eastAsia"/>
          <w:color w:val="auto"/>
          <w:highlight w:val="none"/>
        </w:rPr>
        <w:t>、答疑文件、补充通知、延期通知等相关材料内容不一致的，以发文时间在后的为准。</w:t>
      </w:r>
    </w:p>
    <w:p w14:paraId="76D4A307">
      <w:pPr>
        <w:pStyle w:val="76"/>
        <w:numPr>
          <w:ilvl w:val="0"/>
          <w:numId w:val="8"/>
        </w:numPr>
        <w:tabs>
          <w:tab w:val="left" w:pos="640"/>
        </w:tabs>
        <w:ind w:hanging="704"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rPr>
        <w:t>响应文件</w:t>
      </w:r>
    </w:p>
    <w:p w14:paraId="363C336D">
      <w:pPr>
        <w:pStyle w:val="5"/>
        <w:numPr>
          <w:ilvl w:val="0"/>
          <w:numId w:val="18"/>
        </w:numPr>
        <w:adjustRightInd w:val="0"/>
        <w:rPr>
          <w:color w:val="auto"/>
          <w:sz w:val="24"/>
          <w:szCs w:val="21"/>
          <w:highlight w:val="none"/>
        </w:rPr>
      </w:pPr>
      <w:r>
        <w:rPr>
          <w:rFonts w:hint="eastAsia"/>
          <w:color w:val="auto"/>
          <w:sz w:val="24"/>
          <w:szCs w:val="21"/>
          <w:highlight w:val="none"/>
        </w:rPr>
        <w:t>响应文件的构成</w:t>
      </w:r>
    </w:p>
    <w:p w14:paraId="23455E7B">
      <w:pPr>
        <w:pStyle w:val="122"/>
        <w:numPr>
          <w:ilvl w:val="0"/>
          <w:numId w:val="0"/>
        </w:numPr>
        <w:bidi w:val="0"/>
        <w:ind w:firstLine="420" w:firstLineChars="200"/>
        <w:rPr>
          <w:color w:val="auto"/>
          <w:highlight w:val="none"/>
        </w:rPr>
      </w:pPr>
      <w:r>
        <w:rPr>
          <w:rFonts w:hint="eastAsia"/>
          <w:color w:val="auto"/>
          <w:highlight w:val="none"/>
          <w:lang w:val="en-US" w:eastAsia="zh-CN"/>
        </w:rPr>
        <w:t>1</w:t>
      </w:r>
      <w:r>
        <w:rPr>
          <w:color w:val="auto"/>
          <w:highlight w:val="none"/>
        </w:rPr>
        <w:t>.1.报价函（格式一）</w:t>
      </w:r>
    </w:p>
    <w:p w14:paraId="6096BD00">
      <w:pPr>
        <w:pStyle w:val="122"/>
        <w:numPr>
          <w:ilvl w:val="0"/>
          <w:numId w:val="0"/>
        </w:numPr>
        <w:bidi w:val="0"/>
        <w:ind w:leftChars="200"/>
        <w:rPr>
          <w:color w:val="auto"/>
          <w:highlight w:val="none"/>
        </w:rPr>
      </w:pPr>
      <w:r>
        <w:rPr>
          <w:color w:val="auto"/>
          <w:highlight w:val="none"/>
        </w:rPr>
        <w:t>1.2 授权书（格式二）</w:t>
      </w:r>
    </w:p>
    <w:p w14:paraId="5185EC81">
      <w:pPr>
        <w:pStyle w:val="122"/>
        <w:numPr>
          <w:ilvl w:val="0"/>
          <w:numId w:val="0"/>
        </w:numPr>
        <w:bidi w:val="0"/>
        <w:ind w:leftChars="200"/>
        <w:rPr>
          <w:rFonts w:hint="default" w:eastAsia="宋体"/>
          <w:color w:val="auto"/>
          <w:highlight w:val="none"/>
          <w:lang w:val="en-US" w:eastAsia="zh-CN"/>
        </w:rPr>
      </w:pPr>
      <w:r>
        <w:rPr>
          <w:rFonts w:hint="eastAsia"/>
          <w:color w:val="auto"/>
          <w:highlight w:val="none"/>
          <w:lang w:val="en-US" w:eastAsia="zh-CN"/>
        </w:rPr>
        <w:t xml:space="preserve">1.3 </w:t>
      </w:r>
      <w:r>
        <w:rPr>
          <w:color w:val="auto"/>
          <w:highlight w:val="none"/>
        </w:rPr>
        <w:t>资格性</w:t>
      </w:r>
      <w:r>
        <w:rPr>
          <w:rFonts w:hint="eastAsia"/>
          <w:color w:val="auto"/>
          <w:highlight w:val="none"/>
        </w:rPr>
        <w:t>、符合性</w:t>
      </w:r>
      <w:r>
        <w:rPr>
          <w:color w:val="auto"/>
          <w:highlight w:val="none"/>
        </w:rPr>
        <w:t>响应</w:t>
      </w:r>
      <w:r>
        <w:rPr>
          <w:rFonts w:hint="eastAsia"/>
          <w:color w:val="auto"/>
          <w:highlight w:val="none"/>
          <w:lang w:val="en-US" w:eastAsia="zh-CN"/>
        </w:rPr>
        <w:t>表（格式三）</w:t>
      </w:r>
    </w:p>
    <w:p w14:paraId="5D2B9076">
      <w:pPr>
        <w:pStyle w:val="122"/>
        <w:numPr>
          <w:ilvl w:val="0"/>
          <w:numId w:val="0"/>
        </w:numPr>
        <w:bidi w:val="0"/>
        <w:ind w:leftChars="200"/>
        <w:rPr>
          <w:rFonts w:hint="eastAsia"/>
          <w:color w:val="auto"/>
          <w:highlight w:val="none"/>
        </w:rPr>
      </w:pPr>
      <w:r>
        <w:rPr>
          <w:color w:val="auto"/>
          <w:highlight w:val="none"/>
        </w:rPr>
        <w:t>1.</w:t>
      </w:r>
      <w:r>
        <w:rPr>
          <w:rFonts w:hint="eastAsia"/>
          <w:color w:val="auto"/>
          <w:highlight w:val="none"/>
          <w:lang w:val="en-US" w:eastAsia="zh-CN"/>
        </w:rPr>
        <w:t>4</w:t>
      </w:r>
      <w:r>
        <w:rPr>
          <w:color w:val="auto"/>
          <w:highlight w:val="none"/>
        </w:rPr>
        <w:t xml:space="preserve"> </w:t>
      </w:r>
      <w:r>
        <w:rPr>
          <w:rFonts w:hint="eastAsia" w:asciiTheme="majorEastAsia" w:hAnsiTheme="majorEastAsia" w:eastAsiaTheme="majorEastAsia"/>
          <w:color w:val="auto"/>
          <w:szCs w:val="36"/>
          <w:highlight w:val="none"/>
        </w:rPr>
        <w:t>报价一览表</w:t>
      </w:r>
      <w:r>
        <w:rPr>
          <w:rFonts w:hint="eastAsia"/>
          <w:color w:val="auto"/>
          <w:highlight w:val="none"/>
          <w:lang w:val="en-US" w:eastAsia="zh-CN"/>
        </w:rPr>
        <w:t>表</w:t>
      </w:r>
      <w:r>
        <w:rPr>
          <w:rFonts w:hint="eastAsia"/>
          <w:color w:val="auto"/>
          <w:highlight w:val="none"/>
        </w:rPr>
        <w:t>（格式</w:t>
      </w:r>
      <w:r>
        <w:rPr>
          <w:rFonts w:hint="eastAsia"/>
          <w:color w:val="auto"/>
          <w:highlight w:val="none"/>
          <w:lang w:val="en-US" w:eastAsia="zh-CN"/>
        </w:rPr>
        <w:t>四</w:t>
      </w:r>
      <w:r>
        <w:rPr>
          <w:rFonts w:hint="eastAsia"/>
          <w:color w:val="auto"/>
          <w:highlight w:val="none"/>
        </w:rPr>
        <w:t>）</w:t>
      </w:r>
    </w:p>
    <w:p w14:paraId="51E986A0">
      <w:pPr>
        <w:pStyle w:val="122"/>
        <w:numPr>
          <w:ilvl w:val="0"/>
          <w:numId w:val="0"/>
        </w:numPr>
        <w:bidi w:val="0"/>
        <w:ind w:leftChars="200"/>
        <w:rPr>
          <w:rFonts w:hint="eastAsia"/>
          <w:color w:val="auto"/>
          <w:highlight w:val="none"/>
          <w:lang w:val="en-US" w:eastAsia="zh-CN"/>
        </w:rPr>
      </w:pPr>
      <w:r>
        <w:rPr>
          <w:rFonts w:hint="eastAsia"/>
          <w:color w:val="auto"/>
          <w:highlight w:val="none"/>
          <w:lang w:val="en-US" w:eastAsia="zh-CN"/>
        </w:rPr>
        <w:t>1</w:t>
      </w:r>
      <w:r>
        <w:rPr>
          <w:color w:val="auto"/>
          <w:highlight w:val="none"/>
        </w:rPr>
        <w:t>.</w:t>
      </w:r>
      <w:r>
        <w:rPr>
          <w:rFonts w:hint="eastAsia"/>
          <w:color w:val="auto"/>
          <w:highlight w:val="none"/>
          <w:lang w:val="en-US" w:eastAsia="zh-CN"/>
        </w:rPr>
        <w:t>5</w:t>
      </w:r>
      <w:r>
        <w:rPr>
          <w:color w:val="auto"/>
          <w:highlight w:val="none"/>
        </w:rPr>
        <w:t xml:space="preserve"> </w:t>
      </w:r>
      <w:r>
        <w:rPr>
          <w:rFonts w:hint="eastAsia"/>
          <w:color w:val="auto"/>
          <w:highlight w:val="none"/>
          <w:lang w:val="en-US" w:eastAsia="zh-CN"/>
        </w:rPr>
        <w:t>承诺函</w:t>
      </w:r>
      <w:r>
        <w:rPr>
          <w:color w:val="auto"/>
          <w:highlight w:val="none"/>
        </w:rPr>
        <w:t>（格式</w:t>
      </w:r>
      <w:r>
        <w:rPr>
          <w:rFonts w:hint="eastAsia"/>
          <w:color w:val="auto"/>
          <w:highlight w:val="none"/>
          <w:lang w:val="en-US" w:eastAsia="zh-CN"/>
        </w:rPr>
        <w:t>五</w:t>
      </w:r>
      <w:r>
        <w:rPr>
          <w:color w:val="auto"/>
          <w:highlight w:val="none"/>
        </w:rPr>
        <w:t>）</w:t>
      </w:r>
    </w:p>
    <w:p w14:paraId="66B4FA5E">
      <w:pPr>
        <w:pStyle w:val="5"/>
        <w:numPr>
          <w:ilvl w:val="0"/>
          <w:numId w:val="18"/>
        </w:numPr>
        <w:adjustRightInd w:val="0"/>
        <w:rPr>
          <w:color w:val="auto"/>
          <w:sz w:val="24"/>
          <w:szCs w:val="21"/>
          <w:highlight w:val="none"/>
        </w:rPr>
      </w:pPr>
      <w:r>
        <w:rPr>
          <w:rFonts w:hint="eastAsia"/>
          <w:color w:val="auto"/>
          <w:sz w:val="24"/>
          <w:szCs w:val="21"/>
          <w:highlight w:val="none"/>
        </w:rPr>
        <w:t>报价</w:t>
      </w:r>
    </w:p>
    <w:p w14:paraId="4F0C9B27">
      <w:pPr>
        <w:pStyle w:val="119"/>
        <w:numPr>
          <w:ilvl w:val="0"/>
          <w:numId w:val="19"/>
        </w:numPr>
        <w:tabs>
          <w:tab w:val="left" w:pos="0"/>
        </w:tabs>
        <w:adjustRightInd w:val="0"/>
        <w:spacing w:line="360" w:lineRule="auto"/>
        <w:ind w:firstLineChars="0"/>
        <w:rPr>
          <w:vanish/>
          <w:color w:val="auto"/>
          <w:highlight w:val="none"/>
        </w:rPr>
      </w:pPr>
    </w:p>
    <w:p w14:paraId="2636307A">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2.1</w:t>
      </w:r>
      <w:r>
        <w:rPr>
          <w:rFonts w:hint="eastAsia"/>
          <w:color w:val="auto"/>
          <w:highlight w:val="none"/>
        </w:rPr>
        <w:t>报价总价是指交付到合同指定交货地点的含税交货价格，并按合同提供相关服务和保证而承担的全部成本、费用和税费等。包括但不限于运杂费和保险费、相关专利技术或其他知识产权使用费，以及因货物销售而引发的伴随费用等。若存在其他费用，谈判供应商必须自行补充报价并含在本次总价中，否则，一旦成交，</w:t>
      </w:r>
      <w:r>
        <w:rPr>
          <w:rFonts w:hint="eastAsia"/>
          <w:color w:val="auto"/>
          <w:highlight w:val="none"/>
          <w:lang w:val="en-US" w:eastAsia="zh-CN"/>
        </w:rPr>
        <w:t>采购人</w:t>
      </w:r>
      <w:r>
        <w:rPr>
          <w:rFonts w:hint="eastAsia"/>
          <w:color w:val="auto"/>
          <w:highlight w:val="none"/>
        </w:rPr>
        <w:t>将不再为此支付其他任何费用。</w:t>
      </w:r>
    </w:p>
    <w:p w14:paraId="7D0A2F7B">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2.2</w:t>
      </w:r>
      <w:r>
        <w:rPr>
          <w:rFonts w:hint="eastAsia"/>
          <w:color w:val="auto"/>
          <w:highlight w:val="none"/>
        </w:rPr>
        <w:t>各供应商报价时应综合考虑日后政策性调整、各种材料市场的浮动等因素造成的货物价格变动。谈判供应商所报不含税价格在成交确认后保持不变，即不因市场价格或政策性价格的调整以及不管任何其他因素的影响而调整。</w:t>
      </w:r>
    </w:p>
    <w:p w14:paraId="3B5774B7">
      <w:pPr>
        <w:numPr>
          <w:ilvl w:val="-1"/>
          <w:numId w:val="0"/>
        </w:numPr>
        <w:tabs>
          <w:tab w:val="left" w:pos="0"/>
        </w:tabs>
        <w:adjustRightInd w:val="0"/>
        <w:spacing w:line="360" w:lineRule="auto"/>
        <w:ind w:left="425" w:firstLine="0"/>
        <w:rPr>
          <w:color w:val="auto"/>
          <w:highlight w:val="none"/>
        </w:rPr>
      </w:pPr>
      <w:r>
        <w:rPr>
          <w:rFonts w:hint="eastAsia"/>
          <w:color w:val="auto"/>
          <w:highlight w:val="none"/>
          <w:lang w:val="en-US" w:eastAsia="zh-CN"/>
        </w:rPr>
        <w:t>2.3</w:t>
      </w:r>
      <w:r>
        <w:rPr>
          <w:rFonts w:hint="eastAsia"/>
          <w:color w:val="auto"/>
          <w:highlight w:val="none"/>
        </w:rPr>
        <w:t>报价币种为</w:t>
      </w:r>
      <w:r>
        <w:rPr>
          <w:rFonts w:hint="eastAsia"/>
          <w:color w:val="auto"/>
          <w:highlight w:val="none"/>
          <w:u w:val="single"/>
        </w:rPr>
        <w:t>人民币</w:t>
      </w:r>
      <w:r>
        <w:rPr>
          <w:rFonts w:hint="eastAsia"/>
          <w:color w:val="auto"/>
          <w:highlight w:val="none"/>
        </w:rPr>
        <w:t>。</w:t>
      </w:r>
    </w:p>
    <w:p w14:paraId="1FCB98BD">
      <w:pPr>
        <w:numPr>
          <w:ilvl w:val="-1"/>
          <w:numId w:val="0"/>
        </w:numPr>
        <w:tabs>
          <w:tab w:val="left" w:pos="0"/>
        </w:tabs>
        <w:adjustRightInd w:val="0"/>
        <w:spacing w:line="360" w:lineRule="auto"/>
        <w:ind w:left="0" w:firstLine="420" w:firstLineChars="200"/>
        <w:rPr>
          <w:rFonts w:hint="eastAsia"/>
          <w:color w:val="auto"/>
          <w:highlight w:val="none"/>
          <w:lang w:val="en-US" w:eastAsia="zh-CN"/>
        </w:rPr>
      </w:pPr>
      <w:r>
        <w:rPr>
          <w:rFonts w:hint="eastAsia"/>
          <w:color w:val="auto"/>
          <w:highlight w:val="none"/>
          <w:lang w:val="en-US" w:eastAsia="zh-CN"/>
        </w:rPr>
        <w:t>2.4</w:t>
      </w:r>
      <w:r>
        <w:rPr>
          <w:rFonts w:hint="eastAsia"/>
          <w:color w:val="auto"/>
          <w:highlight w:val="none"/>
        </w:rPr>
        <w:t>单独密封的报价一览表与报价文件正本不符，以报价一览表为准。</w:t>
      </w:r>
    </w:p>
    <w:p w14:paraId="5F2EDAC4">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2.5</w:t>
      </w:r>
      <w:r>
        <w:rPr>
          <w:rFonts w:hint="eastAsia"/>
          <w:color w:val="auto"/>
          <w:highlight w:val="none"/>
        </w:rPr>
        <w:t>谈判过程中谈判文件有实质性变动的，</w:t>
      </w:r>
      <w:r>
        <w:rPr>
          <w:rFonts w:hint="eastAsia"/>
          <w:color w:val="auto"/>
          <w:highlight w:val="none"/>
          <w:lang w:eastAsia="zh-CN"/>
        </w:rPr>
        <w:t>采购人</w:t>
      </w:r>
      <w:r>
        <w:rPr>
          <w:rFonts w:hint="eastAsia"/>
          <w:color w:val="auto"/>
          <w:highlight w:val="none"/>
        </w:rPr>
        <w:t>将书面通知所有参与谈判的谈判供应商，谈判供应商据此再次报价。</w:t>
      </w:r>
    </w:p>
    <w:p w14:paraId="74BFD16C">
      <w:pPr>
        <w:numPr>
          <w:ilvl w:val="-1"/>
          <w:numId w:val="0"/>
        </w:numPr>
        <w:tabs>
          <w:tab w:val="left" w:pos="0"/>
        </w:tabs>
        <w:adjustRightInd w:val="0"/>
        <w:spacing w:line="360" w:lineRule="auto"/>
        <w:ind w:left="425" w:firstLine="0"/>
        <w:rPr>
          <w:color w:val="auto"/>
          <w:highlight w:val="none"/>
        </w:rPr>
      </w:pPr>
      <w:r>
        <w:rPr>
          <w:rFonts w:hint="eastAsia"/>
          <w:color w:val="auto"/>
          <w:highlight w:val="none"/>
          <w:lang w:val="en-US" w:eastAsia="zh-CN"/>
        </w:rPr>
        <w:t>2.6</w:t>
      </w:r>
      <w:r>
        <w:rPr>
          <w:rFonts w:hint="eastAsia"/>
          <w:color w:val="auto"/>
          <w:highlight w:val="none"/>
        </w:rPr>
        <w:t>产</w:t>
      </w:r>
      <w:r>
        <w:rPr>
          <w:color w:val="auto"/>
          <w:highlight w:val="none"/>
        </w:rPr>
        <w:t>品</w:t>
      </w:r>
      <w:r>
        <w:rPr>
          <w:rFonts w:hint="eastAsia"/>
          <w:color w:val="auto"/>
          <w:highlight w:val="none"/>
        </w:rPr>
        <w:t>如遇升级，经</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同意后成交供应商可按升级后的产品供货，但价格不变。</w:t>
      </w:r>
    </w:p>
    <w:p w14:paraId="6084BE88">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2.7</w:t>
      </w:r>
      <w:r>
        <w:rPr>
          <w:color w:val="auto"/>
          <w:highlight w:val="none"/>
        </w:rPr>
        <w:t>除非</w:t>
      </w:r>
      <w:r>
        <w:rPr>
          <w:rFonts w:hint="eastAsia"/>
          <w:color w:val="auto"/>
          <w:highlight w:val="none"/>
        </w:rPr>
        <w:t>有另外的规定，供应商可对项目全部合同包或者部分合同包进行响应。</w:t>
      </w:r>
      <w:r>
        <w:rPr>
          <w:rFonts w:hint="eastAsia"/>
          <w:color w:val="auto"/>
          <w:highlight w:val="none"/>
          <w:lang w:eastAsia="zh-CN"/>
        </w:rPr>
        <w:t>采购人</w:t>
      </w:r>
      <w:r>
        <w:rPr>
          <w:rFonts w:hint="eastAsia"/>
          <w:color w:val="auto"/>
          <w:highlight w:val="none"/>
        </w:rPr>
        <w:t>不接受有任何可选择性的报价，每一种货物或服务只能有一个报价，如果大写的金额和小写的金额不一致时，以大写的金额为准；总价金额与按单价汇总金额不一致的，以单价金额计算结果为准；对不同文字文本报价文件的解释发生异议的，以中文文本为准。</w:t>
      </w:r>
    </w:p>
    <w:p w14:paraId="0FFE3702">
      <w:pPr>
        <w:numPr>
          <w:ilvl w:val="-1"/>
          <w:numId w:val="0"/>
        </w:numPr>
        <w:tabs>
          <w:tab w:val="left" w:pos="0"/>
        </w:tabs>
        <w:adjustRightInd w:val="0"/>
        <w:spacing w:line="360" w:lineRule="auto"/>
        <w:ind w:left="5" w:firstLine="420" w:firstLineChars="200"/>
        <w:rPr>
          <w:color w:val="auto"/>
          <w:highlight w:val="none"/>
        </w:rPr>
      </w:pPr>
      <w:r>
        <w:rPr>
          <w:rFonts w:hint="eastAsia"/>
          <w:color w:val="auto"/>
          <w:highlight w:val="none"/>
          <w:lang w:val="en-US" w:eastAsia="zh-CN"/>
        </w:rPr>
        <w:t>2.8</w:t>
      </w:r>
      <w:r>
        <w:rPr>
          <w:rFonts w:hint="eastAsia"/>
          <w:color w:val="auto"/>
          <w:highlight w:val="none"/>
        </w:rPr>
        <w:t>谈判供应商免费提供的项目，应先填写该项目的实际单价，并注明免费。此项以免费方式计入总报价。</w:t>
      </w:r>
    </w:p>
    <w:p w14:paraId="4BD0A8BA">
      <w:pPr>
        <w:numPr>
          <w:ilvl w:val="-1"/>
          <w:numId w:val="0"/>
        </w:numPr>
        <w:tabs>
          <w:tab w:val="left" w:pos="0"/>
        </w:tabs>
        <w:adjustRightInd w:val="0"/>
        <w:spacing w:line="360" w:lineRule="auto"/>
        <w:ind w:left="0" w:firstLine="420" w:firstLineChars="200"/>
        <w:rPr>
          <w:rFonts w:hint="eastAsia" w:eastAsia="宋体"/>
          <w:color w:val="auto"/>
          <w:highlight w:val="none"/>
          <w:lang w:eastAsia="zh-CN"/>
        </w:rPr>
      </w:pPr>
      <w:r>
        <w:rPr>
          <w:rFonts w:hint="eastAsia"/>
          <w:color w:val="auto"/>
          <w:highlight w:val="none"/>
          <w:lang w:val="en-US" w:eastAsia="zh-CN"/>
        </w:rPr>
        <w:t>2.9</w:t>
      </w:r>
      <w:r>
        <w:rPr>
          <w:rFonts w:hint="eastAsia"/>
          <w:color w:val="auto"/>
          <w:highlight w:val="none"/>
        </w:rPr>
        <w:t>本次采购最低报价不作为成交的唯一条件。谈判供应商须完全响应谈判文件中的技术及质量要求</w:t>
      </w:r>
      <w:r>
        <w:rPr>
          <w:rFonts w:hint="eastAsia"/>
          <w:color w:val="auto"/>
          <w:highlight w:val="none"/>
          <w:lang w:eastAsia="zh-CN"/>
        </w:rPr>
        <w:t>。</w:t>
      </w:r>
    </w:p>
    <w:p w14:paraId="391E3786">
      <w:pPr>
        <w:pStyle w:val="5"/>
        <w:numPr>
          <w:ilvl w:val="0"/>
          <w:numId w:val="18"/>
        </w:numPr>
        <w:adjustRightInd w:val="0"/>
        <w:rPr>
          <w:color w:val="auto"/>
          <w:sz w:val="24"/>
          <w:szCs w:val="21"/>
          <w:highlight w:val="none"/>
        </w:rPr>
      </w:pPr>
      <w:r>
        <w:rPr>
          <w:rFonts w:hint="eastAsia"/>
          <w:color w:val="auto"/>
          <w:sz w:val="24"/>
          <w:szCs w:val="21"/>
          <w:highlight w:val="none"/>
        </w:rPr>
        <w:t>响应文件有效期</w:t>
      </w:r>
    </w:p>
    <w:p w14:paraId="42FFD7CC">
      <w:pPr>
        <w:pStyle w:val="119"/>
        <w:numPr>
          <w:ilvl w:val="0"/>
          <w:numId w:val="20"/>
        </w:numPr>
        <w:tabs>
          <w:tab w:val="left" w:pos="0"/>
        </w:tabs>
        <w:adjustRightInd w:val="0"/>
        <w:spacing w:line="360" w:lineRule="auto"/>
        <w:ind w:firstLineChars="0"/>
        <w:rPr>
          <w:vanish/>
          <w:color w:val="auto"/>
          <w:highlight w:val="none"/>
        </w:rPr>
      </w:pPr>
    </w:p>
    <w:p w14:paraId="515B220E">
      <w:pPr>
        <w:pStyle w:val="119"/>
        <w:numPr>
          <w:ilvl w:val="0"/>
          <w:numId w:val="20"/>
        </w:numPr>
        <w:tabs>
          <w:tab w:val="left" w:pos="0"/>
        </w:tabs>
        <w:adjustRightInd w:val="0"/>
        <w:spacing w:line="360" w:lineRule="auto"/>
        <w:ind w:firstLineChars="0"/>
        <w:rPr>
          <w:vanish/>
          <w:color w:val="auto"/>
          <w:highlight w:val="none"/>
        </w:rPr>
      </w:pPr>
    </w:p>
    <w:p w14:paraId="618E6CD8">
      <w:pPr>
        <w:pStyle w:val="119"/>
        <w:numPr>
          <w:ilvl w:val="0"/>
          <w:numId w:val="20"/>
        </w:numPr>
        <w:tabs>
          <w:tab w:val="left" w:pos="0"/>
        </w:tabs>
        <w:adjustRightInd w:val="0"/>
        <w:spacing w:line="360" w:lineRule="auto"/>
        <w:ind w:firstLineChars="0"/>
        <w:rPr>
          <w:vanish/>
          <w:color w:val="auto"/>
          <w:highlight w:val="none"/>
        </w:rPr>
      </w:pPr>
    </w:p>
    <w:p w14:paraId="54F6F81F">
      <w:pPr>
        <w:numPr>
          <w:ilvl w:val="1"/>
          <w:numId w:val="20"/>
        </w:numPr>
        <w:tabs>
          <w:tab w:val="left" w:pos="0"/>
        </w:tabs>
        <w:adjustRightInd w:val="0"/>
        <w:spacing w:line="360" w:lineRule="auto"/>
        <w:ind w:left="0" w:firstLine="426"/>
        <w:rPr>
          <w:color w:val="auto"/>
          <w:highlight w:val="none"/>
        </w:rPr>
      </w:pPr>
      <w:r>
        <w:rPr>
          <w:rFonts w:hint="eastAsia"/>
          <w:color w:val="auto"/>
          <w:highlight w:val="none"/>
        </w:rPr>
        <w:t>响应文件自报价截止之日起，有效期为</w:t>
      </w:r>
      <w:r>
        <w:rPr>
          <w:color w:val="auto"/>
          <w:highlight w:val="none"/>
          <w:u w:val="single"/>
        </w:rPr>
        <w:t xml:space="preserve">  90  </w:t>
      </w:r>
      <w:r>
        <w:rPr>
          <w:rFonts w:hint="eastAsia"/>
          <w:color w:val="auto"/>
          <w:highlight w:val="none"/>
        </w:rPr>
        <w:t>个日历日。报价函的有效期比本须知规定的有效期短的，将被称为非响应报价，</w:t>
      </w:r>
      <w:r>
        <w:rPr>
          <w:rFonts w:hint="eastAsia"/>
          <w:color w:val="auto"/>
          <w:highlight w:val="none"/>
          <w:lang w:eastAsia="zh-CN"/>
        </w:rPr>
        <w:t>采购人</w:t>
      </w:r>
      <w:r>
        <w:rPr>
          <w:rFonts w:hint="eastAsia"/>
          <w:color w:val="auto"/>
          <w:highlight w:val="none"/>
        </w:rPr>
        <w:t>有权拒绝。</w:t>
      </w:r>
    </w:p>
    <w:p w14:paraId="56A30B30">
      <w:pPr>
        <w:numPr>
          <w:ilvl w:val="1"/>
          <w:numId w:val="20"/>
        </w:numPr>
        <w:tabs>
          <w:tab w:val="left" w:pos="0"/>
        </w:tabs>
        <w:adjustRightInd w:val="0"/>
        <w:spacing w:line="360" w:lineRule="auto"/>
        <w:ind w:left="0" w:firstLine="426"/>
        <w:rPr>
          <w:color w:val="auto"/>
          <w:highlight w:val="none"/>
        </w:rPr>
      </w:pPr>
      <w:r>
        <w:rPr>
          <w:rFonts w:hint="eastAsia"/>
          <w:color w:val="auto"/>
          <w:highlight w:val="none"/>
        </w:rPr>
        <w:t>特殊情况下，在报价有效期满之前，经</w:t>
      </w:r>
      <w:r>
        <w:rPr>
          <w:rFonts w:hint="eastAsia"/>
          <w:color w:val="auto"/>
          <w:highlight w:val="none"/>
          <w:lang w:val="en-US" w:eastAsia="zh-CN"/>
        </w:rPr>
        <w:t>采购</w:t>
      </w:r>
      <w:r>
        <w:rPr>
          <w:rFonts w:hint="eastAsia"/>
          <w:color w:val="auto"/>
          <w:highlight w:val="none"/>
        </w:rPr>
        <w:t>人确认后，</w:t>
      </w:r>
      <w:r>
        <w:rPr>
          <w:rFonts w:hint="eastAsia"/>
          <w:color w:val="auto"/>
          <w:highlight w:val="none"/>
          <w:lang w:eastAsia="zh-CN"/>
        </w:rPr>
        <w:t>采购人</w:t>
      </w:r>
      <w:r>
        <w:rPr>
          <w:rFonts w:hint="eastAsia"/>
          <w:color w:val="auto"/>
          <w:highlight w:val="none"/>
        </w:rPr>
        <w:t>可以书面形式要求供应商同意延长报价有效期。供应商可以书面形式拒绝或接受上述要求。</w:t>
      </w:r>
    </w:p>
    <w:p w14:paraId="2287F5D6">
      <w:pPr>
        <w:keepNext/>
        <w:keepLines/>
        <w:numPr>
          <w:ilvl w:val="0"/>
          <w:numId w:val="18"/>
        </w:numPr>
        <w:adjustRightInd w:val="0"/>
        <w:spacing w:before="260" w:after="260"/>
        <w:outlineLvl w:val="2"/>
        <w:rPr>
          <w:rFonts w:cs="宋体"/>
          <w:b/>
          <w:bCs/>
          <w:color w:val="auto"/>
          <w:sz w:val="24"/>
          <w:highlight w:val="none"/>
        </w:rPr>
      </w:pPr>
      <w:r>
        <w:rPr>
          <w:rFonts w:hint="eastAsia" w:cs="宋体"/>
          <w:b/>
          <w:bCs/>
          <w:color w:val="auto"/>
          <w:sz w:val="24"/>
          <w:highlight w:val="none"/>
        </w:rPr>
        <w:t>响应方案</w:t>
      </w:r>
    </w:p>
    <w:p w14:paraId="06B58E6A">
      <w:pPr>
        <w:numPr>
          <w:ilvl w:val="-1"/>
          <w:numId w:val="0"/>
        </w:numPr>
        <w:tabs>
          <w:tab w:val="left" w:pos="0"/>
        </w:tabs>
        <w:adjustRightInd w:val="0"/>
        <w:spacing w:line="360" w:lineRule="auto"/>
        <w:ind w:left="5" w:firstLine="420" w:firstLineChars="200"/>
        <w:rPr>
          <w:rFonts w:hint="eastAsia"/>
          <w:color w:val="auto"/>
          <w:highlight w:val="none"/>
        </w:rPr>
      </w:pPr>
      <w:r>
        <w:rPr>
          <w:rFonts w:hint="eastAsia"/>
          <w:color w:val="auto"/>
          <w:highlight w:val="none"/>
          <w:lang w:val="en-US" w:eastAsia="zh-CN"/>
        </w:rPr>
        <w:t>4.1</w:t>
      </w:r>
      <w:r>
        <w:rPr>
          <w:rFonts w:hint="eastAsia"/>
          <w:color w:val="auto"/>
          <w:highlight w:val="none"/>
        </w:rPr>
        <w:t>谈判供应商应当仔细阅读</w:t>
      </w:r>
      <w:r>
        <w:rPr>
          <w:rFonts w:hint="eastAsia"/>
          <w:color w:val="auto"/>
          <w:highlight w:val="none"/>
          <w:lang w:eastAsia="zh-CN"/>
        </w:rPr>
        <w:t>谈判文件</w:t>
      </w:r>
      <w:r>
        <w:rPr>
          <w:rFonts w:hint="eastAsia"/>
          <w:color w:val="auto"/>
          <w:highlight w:val="none"/>
        </w:rPr>
        <w:t>的所有内容，按照</w:t>
      </w:r>
      <w:r>
        <w:rPr>
          <w:rFonts w:hint="eastAsia"/>
          <w:color w:val="auto"/>
          <w:highlight w:val="none"/>
          <w:lang w:eastAsia="zh-CN"/>
        </w:rPr>
        <w:t>谈判文件</w:t>
      </w:r>
      <w:r>
        <w:rPr>
          <w:rFonts w:hint="eastAsia"/>
          <w:color w:val="auto"/>
          <w:highlight w:val="none"/>
        </w:rPr>
        <w:t>的要求编制响应文件，并保证所提供的全部资料的真实性及准确性，响应文件应对</w:t>
      </w:r>
      <w:r>
        <w:rPr>
          <w:rFonts w:hint="eastAsia"/>
          <w:color w:val="auto"/>
          <w:highlight w:val="none"/>
          <w:lang w:eastAsia="zh-CN"/>
        </w:rPr>
        <w:t>谈判文件</w:t>
      </w:r>
      <w:r>
        <w:rPr>
          <w:rFonts w:hint="eastAsia"/>
          <w:color w:val="auto"/>
          <w:highlight w:val="none"/>
        </w:rPr>
        <w:t>提出的实质性要求和条件做出完全的响应，否则响应文件将被拒绝。</w:t>
      </w:r>
    </w:p>
    <w:p w14:paraId="3BDC3006">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4.2</w:t>
      </w:r>
      <w:r>
        <w:rPr>
          <w:rFonts w:hint="eastAsia"/>
          <w:color w:val="auto"/>
          <w:highlight w:val="none"/>
          <w:lang w:eastAsia="zh-CN"/>
        </w:rPr>
        <w:t>谈判文件</w:t>
      </w:r>
      <w:r>
        <w:rPr>
          <w:rFonts w:hint="eastAsia"/>
          <w:color w:val="auto"/>
          <w:highlight w:val="none"/>
        </w:rPr>
        <w:t>中，凡标有“★”的地方均为须实质响应条款，谈判供应商若有一项带“★”的条款未响应或是不满足，将按无效报价处理。</w:t>
      </w:r>
    </w:p>
    <w:p w14:paraId="47D490DB">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4.3</w:t>
      </w:r>
      <w:r>
        <w:rPr>
          <w:rFonts w:hint="eastAsia"/>
          <w:color w:val="auto"/>
          <w:highlight w:val="none"/>
        </w:rPr>
        <w:t>响应文件对</w:t>
      </w:r>
      <w:r>
        <w:rPr>
          <w:rFonts w:hint="eastAsia"/>
          <w:color w:val="auto"/>
          <w:highlight w:val="none"/>
          <w:lang w:eastAsia="zh-CN"/>
        </w:rPr>
        <w:t>谈判文件</w:t>
      </w:r>
      <w:r>
        <w:rPr>
          <w:rFonts w:hint="eastAsia"/>
          <w:color w:val="auto"/>
          <w:highlight w:val="none"/>
        </w:rPr>
        <w:t>的全部偏差，均应在响应文件的商务和技术偏差表中列明。响应文件偏差表中未列明的内容，将视为响应</w:t>
      </w:r>
      <w:r>
        <w:rPr>
          <w:rFonts w:hint="eastAsia"/>
          <w:color w:val="auto"/>
          <w:highlight w:val="none"/>
          <w:lang w:eastAsia="zh-CN"/>
        </w:rPr>
        <w:t>谈判文件</w:t>
      </w:r>
      <w:r>
        <w:rPr>
          <w:rFonts w:hint="eastAsia"/>
          <w:color w:val="auto"/>
          <w:highlight w:val="none"/>
        </w:rPr>
        <w:t>的要求；但如发现响应文件的其他部分与商务和技术偏差表的描述不一致或供应商的响应缺乏支持性文件，则谈判小组有权要求供应商对相关问题进行澄清，并根据澄清结果对供应商的响应文件进行评审。</w:t>
      </w:r>
    </w:p>
    <w:p w14:paraId="55A20864">
      <w:pPr>
        <w:keepNext/>
        <w:keepLines/>
        <w:numPr>
          <w:ilvl w:val="0"/>
          <w:numId w:val="18"/>
        </w:numPr>
        <w:adjustRightInd w:val="0"/>
        <w:spacing w:before="260" w:after="260"/>
        <w:outlineLvl w:val="2"/>
        <w:rPr>
          <w:color w:val="auto"/>
          <w:sz w:val="24"/>
          <w:highlight w:val="none"/>
        </w:rPr>
      </w:pPr>
      <w:r>
        <w:rPr>
          <w:rFonts w:hint="eastAsia" w:cs="宋体"/>
          <w:b/>
          <w:bCs/>
          <w:color w:val="auto"/>
          <w:sz w:val="24"/>
          <w:highlight w:val="none"/>
        </w:rPr>
        <w:t>响应文件的编制</w:t>
      </w:r>
    </w:p>
    <w:p w14:paraId="3D6BD1EA">
      <w:pPr>
        <w:pStyle w:val="119"/>
        <w:numPr>
          <w:ilvl w:val="0"/>
          <w:numId w:val="21"/>
        </w:numPr>
        <w:tabs>
          <w:tab w:val="left" w:pos="0"/>
        </w:tabs>
        <w:adjustRightInd w:val="0"/>
        <w:spacing w:line="360" w:lineRule="auto"/>
        <w:ind w:firstLineChars="0"/>
        <w:rPr>
          <w:vanish/>
          <w:color w:val="auto"/>
          <w:highlight w:val="none"/>
        </w:rPr>
      </w:pPr>
    </w:p>
    <w:p w14:paraId="628BC2D5">
      <w:pPr>
        <w:pStyle w:val="119"/>
        <w:numPr>
          <w:ilvl w:val="0"/>
          <w:numId w:val="21"/>
        </w:numPr>
        <w:tabs>
          <w:tab w:val="left" w:pos="0"/>
        </w:tabs>
        <w:adjustRightInd w:val="0"/>
        <w:spacing w:line="360" w:lineRule="auto"/>
        <w:ind w:firstLineChars="0"/>
        <w:rPr>
          <w:vanish/>
          <w:color w:val="auto"/>
          <w:highlight w:val="none"/>
        </w:rPr>
      </w:pPr>
    </w:p>
    <w:p w14:paraId="6AC2AADE">
      <w:pPr>
        <w:pStyle w:val="119"/>
        <w:numPr>
          <w:ilvl w:val="0"/>
          <w:numId w:val="21"/>
        </w:numPr>
        <w:tabs>
          <w:tab w:val="left" w:pos="0"/>
        </w:tabs>
        <w:adjustRightInd w:val="0"/>
        <w:spacing w:line="360" w:lineRule="auto"/>
        <w:ind w:firstLineChars="0"/>
        <w:rPr>
          <w:vanish/>
          <w:color w:val="auto"/>
          <w:highlight w:val="none"/>
        </w:rPr>
      </w:pPr>
    </w:p>
    <w:p w14:paraId="500E0136">
      <w:pPr>
        <w:pStyle w:val="119"/>
        <w:numPr>
          <w:ilvl w:val="0"/>
          <w:numId w:val="21"/>
        </w:numPr>
        <w:tabs>
          <w:tab w:val="left" w:pos="0"/>
        </w:tabs>
        <w:adjustRightInd w:val="0"/>
        <w:spacing w:line="360" w:lineRule="auto"/>
        <w:ind w:firstLineChars="0"/>
        <w:rPr>
          <w:vanish/>
          <w:color w:val="auto"/>
          <w:highlight w:val="none"/>
        </w:rPr>
      </w:pPr>
    </w:p>
    <w:p w14:paraId="39345AAD">
      <w:pPr>
        <w:pStyle w:val="119"/>
        <w:numPr>
          <w:ilvl w:val="0"/>
          <w:numId w:val="21"/>
        </w:numPr>
        <w:tabs>
          <w:tab w:val="left" w:pos="0"/>
        </w:tabs>
        <w:adjustRightInd w:val="0"/>
        <w:spacing w:line="360" w:lineRule="auto"/>
        <w:ind w:firstLineChars="0"/>
        <w:rPr>
          <w:vanish/>
          <w:color w:val="auto"/>
          <w:highlight w:val="none"/>
        </w:rPr>
      </w:pPr>
    </w:p>
    <w:p w14:paraId="3359B502">
      <w:pPr>
        <w:pStyle w:val="119"/>
        <w:numPr>
          <w:ilvl w:val="0"/>
          <w:numId w:val="21"/>
        </w:numPr>
        <w:tabs>
          <w:tab w:val="left" w:pos="0"/>
        </w:tabs>
        <w:adjustRightInd w:val="0"/>
        <w:spacing w:line="360" w:lineRule="auto"/>
        <w:ind w:firstLineChars="0"/>
        <w:rPr>
          <w:vanish/>
          <w:color w:val="auto"/>
          <w:highlight w:val="none"/>
        </w:rPr>
      </w:pPr>
    </w:p>
    <w:p w14:paraId="271BE04E">
      <w:pPr>
        <w:numPr>
          <w:ilvl w:val="1"/>
          <w:numId w:val="21"/>
        </w:numPr>
        <w:tabs>
          <w:tab w:val="left" w:pos="0"/>
        </w:tabs>
        <w:adjustRightInd w:val="0"/>
        <w:spacing w:line="360" w:lineRule="auto"/>
        <w:ind w:left="0" w:firstLine="426"/>
        <w:rPr>
          <w:color w:val="auto"/>
          <w:highlight w:val="none"/>
        </w:rPr>
      </w:pPr>
      <w:r>
        <w:rPr>
          <w:rFonts w:hint="eastAsia"/>
          <w:color w:val="auto"/>
          <w:highlight w:val="none"/>
        </w:rPr>
        <w:t>响应文件应按“响应文件格式”进行编写，如有必要，可以增加附页，作为响应文件的组成部分。</w:t>
      </w:r>
    </w:p>
    <w:p w14:paraId="15A24D6C">
      <w:pPr>
        <w:numPr>
          <w:ilvl w:val="1"/>
          <w:numId w:val="21"/>
        </w:numPr>
        <w:tabs>
          <w:tab w:val="left" w:pos="0"/>
        </w:tabs>
        <w:adjustRightInd w:val="0"/>
        <w:spacing w:line="360" w:lineRule="auto"/>
        <w:ind w:left="0" w:firstLine="425"/>
        <w:rPr>
          <w:color w:val="auto"/>
          <w:highlight w:val="none"/>
        </w:rPr>
      </w:pPr>
      <w:r>
        <w:rPr>
          <w:rFonts w:hint="eastAsia"/>
          <w:color w:val="auto"/>
          <w:highlight w:val="none"/>
        </w:rPr>
        <w:t>响应文件正本须由谈判供应商代表人或者其授权代表签字并加盖公章，如由后者签字，应提供“法定代表人授权委托书”。</w:t>
      </w:r>
    </w:p>
    <w:p w14:paraId="7413F01B">
      <w:pPr>
        <w:numPr>
          <w:ilvl w:val="1"/>
          <w:numId w:val="21"/>
        </w:numPr>
        <w:tabs>
          <w:tab w:val="left" w:pos="0"/>
        </w:tabs>
        <w:adjustRightInd w:val="0"/>
        <w:spacing w:line="360" w:lineRule="auto"/>
        <w:ind w:left="0" w:firstLine="425"/>
        <w:rPr>
          <w:color w:val="auto"/>
          <w:highlight w:val="none"/>
        </w:rPr>
      </w:pPr>
      <w:r>
        <w:rPr>
          <w:rFonts w:hint="eastAsia"/>
          <w:color w:val="auto"/>
          <w:highlight w:val="none"/>
        </w:rPr>
        <w:t>响应文件应尽量避免涂改、行间插字或删除。出现上述情况，改动之处应由供应商的法定代表人或其授权的代理人签字或加盖公章。</w:t>
      </w:r>
    </w:p>
    <w:p w14:paraId="2603181F">
      <w:pPr>
        <w:keepNext/>
        <w:keepLines/>
        <w:numPr>
          <w:ilvl w:val="0"/>
          <w:numId w:val="18"/>
        </w:numPr>
        <w:adjustRightInd w:val="0"/>
        <w:spacing w:before="260" w:after="260"/>
        <w:outlineLvl w:val="2"/>
        <w:rPr>
          <w:color w:val="auto"/>
          <w:sz w:val="24"/>
          <w:highlight w:val="none"/>
        </w:rPr>
      </w:pPr>
      <w:r>
        <w:rPr>
          <w:rFonts w:hint="eastAsia" w:cs="宋体"/>
          <w:b/>
          <w:bCs/>
          <w:color w:val="auto"/>
          <w:sz w:val="24"/>
          <w:highlight w:val="none"/>
        </w:rPr>
        <w:t>响应文件的递交</w:t>
      </w:r>
    </w:p>
    <w:p w14:paraId="7DE8F097">
      <w:pPr>
        <w:pStyle w:val="74"/>
        <w:numPr>
          <w:ilvl w:val="0"/>
          <w:numId w:val="21"/>
        </w:numPr>
        <w:tabs>
          <w:tab w:val="left" w:pos="0"/>
        </w:tabs>
        <w:adjustRightInd w:val="0"/>
        <w:spacing w:before="0" w:after="0"/>
        <w:ind w:firstLineChars="0"/>
        <w:rPr>
          <w:rFonts w:ascii="宋体" w:hAnsi="宋体"/>
          <w:vanish/>
          <w:color w:val="auto"/>
          <w:szCs w:val="21"/>
          <w:highlight w:val="none"/>
        </w:rPr>
      </w:pPr>
    </w:p>
    <w:p w14:paraId="3A28787C">
      <w:pPr>
        <w:numPr>
          <w:ilvl w:val="1"/>
          <w:numId w:val="21"/>
        </w:numPr>
        <w:tabs>
          <w:tab w:val="left" w:pos="0"/>
        </w:tabs>
        <w:adjustRightInd w:val="0"/>
        <w:spacing w:line="360" w:lineRule="auto"/>
        <w:ind w:left="0" w:firstLine="425"/>
        <w:rPr>
          <w:color w:val="auto"/>
          <w:highlight w:val="none"/>
        </w:rPr>
      </w:pPr>
      <w:r>
        <w:rPr>
          <w:rFonts w:hint="eastAsia"/>
          <w:color w:val="auto"/>
          <w:highlight w:val="none"/>
        </w:rPr>
        <w:t>响应文件的密封</w:t>
      </w:r>
    </w:p>
    <w:p w14:paraId="0BCA25BF">
      <w:pPr>
        <w:numPr>
          <w:ilvl w:val="2"/>
          <w:numId w:val="21"/>
        </w:numPr>
        <w:tabs>
          <w:tab w:val="left" w:pos="0"/>
        </w:tabs>
        <w:adjustRightInd w:val="0"/>
        <w:spacing w:line="360" w:lineRule="auto"/>
        <w:ind w:left="0" w:firstLine="426"/>
        <w:rPr>
          <w:color w:val="auto"/>
          <w:highlight w:val="none"/>
        </w:rPr>
      </w:pPr>
      <w:r>
        <w:rPr>
          <w:rFonts w:hint="eastAsia"/>
          <w:color w:val="auto"/>
          <w:highlight w:val="none"/>
        </w:rPr>
        <w:t>响应文件应妥善包装。响应文件的每一密封处应加盖供应商公章或供应商的法定代表人或其授权的代理人的签字。文件封口处应标明采购项目编号和报价项目。</w:t>
      </w:r>
    </w:p>
    <w:p w14:paraId="0808E0EC">
      <w:pPr>
        <w:numPr>
          <w:ilvl w:val="2"/>
          <w:numId w:val="21"/>
        </w:numPr>
        <w:tabs>
          <w:tab w:val="left" w:pos="0"/>
        </w:tabs>
        <w:adjustRightInd w:val="0"/>
        <w:spacing w:line="360" w:lineRule="auto"/>
        <w:ind w:left="0" w:firstLine="426"/>
        <w:rPr>
          <w:color w:val="auto"/>
          <w:highlight w:val="none"/>
        </w:rPr>
      </w:pPr>
      <w:r>
        <w:rPr>
          <w:rFonts w:hint="eastAsia"/>
          <w:color w:val="auto"/>
          <w:highlight w:val="none"/>
        </w:rPr>
        <w:t>如果未按上述规定进行密封和标记，</w:t>
      </w:r>
      <w:r>
        <w:rPr>
          <w:rFonts w:hint="eastAsia"/>
          <w:color w:val="auto"/>
          <w:highlight w:val="none"/>
          <w:lang w:eastAsia="zh-CN"/>
        </w:rPr>
        <w:t>采购人</w:t>
      </w:r>
      <w:r>
        <w:rPr>
          <w:rFonts w:hint="eastAsia"/>
          <w:color w:val="auto"/>
          <w:highlight w:val="none"/>
        </w:rPr>
        <w:t>将不承担由此造成的对响应文件的误投或提前拆封的责任。</w:t>
      </w:r>
    </w:p>
    <w:p w14:paraId="782A6EE3">
      <w:pPr>
        <w:numPr>
          <w:ilvl w:val="1"/>
          <w:numId w:val="21"/>
        </w:numPr>
        <w:tabs>
          <w:tab w:val="left" w:pos="0"/>
        </w:tabs>
        <w:adjustRightInd w:val="0"/>
        <w:spacing w:line="360" w:lineRule="auto"/>
        <w:ind w:left="0" w:firstLine="425"/>
        <w:rPr>
          <w:color w:val="auto"/>
          <w:highlight w:val="none"/>
        </w:rPr>
      </w:pPr>
      <w:r>
        <w:rPr>
          <w:rFonts w:hint="eastAsia"/>
          <w:color w:val="auto"/>
          <w:highlight w:val="none"/>
        </w:rPr>
        <w:t>响应文件的递交</w:t>
      </w:r>
    </w:p>
    <w:p w14:paraId="783C11C3">
      <w:pPr>
        <w:numPr>
          <w:ilvl w:val="2"/>
          <w:numId w:val="21"/>
        </w:numPr>
        <w:tabs>
          <w:tab w:val="left" w:pos="0"/>
        </w:tabs>
        <w:adjustRightInd w:val="0"/>
        <w:spacing w:line="360" w:lineRule="auto"/>
        <w:ind w:left="0" w:firstLine="426"/>
        <w:rPr>
          <w:color w:val="auto"/>
          <w:highlight w:val="none"/>
        </w:rPr>
      </w:pPr>
      <w:r>
        <w:rPr>
          <w:rFonts w:hint="eastAsia"/>
          <w:color w:val="auto"/>
          <w:highlight w:val="none"/>
        </w:rPr>
        <w:t>所有响应文件必须在报价截止时间之前，将响应文件密封后送达或以特快专递邮寄至报价地点（以</w:t>
      </w:r>
      <w:r>
        <w:rPr>
          <w:rFonts w:hint="eastAsia"/>
          <w:color w:val="auto"/>
          <w:highlight w:val="none"/>
          <w:lang w:eastAsia="zh-CN"/>
        </w:rPr>
        <w:t>采购人</w:t>
      </w:r>
      <w:r>
        <w:rPr>
          <w:rFonts w:hint="eastAsia"/>
          <w:color w:val="auto"/>
          <w:highlight w:val="none"/>
        </w:rPr>
        <w:t>收到日期为准）。如因特殊原因需推迟报价截止日期的，则按</w:t>
      </w:r>
      <w:r>
        <w:rPr>
          <w:rFonts w:hint="eastAsia"/>
          <w:color w:val="auto"/>
          <w:highlight w:val="none"/>
          <w:lang w:eastAsia="zh-CN"/>
        </w:rPr>
        <w:t>采购人</w:t>
      </w:r>
      <w:r>
        <w:rPr>
          <w:rFonts w:hint="eastAsia"/>
          <w:color w:val="auto"/>
          <w:highlight w:val="none"/>
        </w:rPr>
        <w:t>另行通知规定的时间递交。</w:t>
      </w:r>
    </w:p>
    <w:p w14:paraId="1BF6B699">
      <w:pPr>
        <w:numPr>
          <w:ilvl w:val="2"/>
          <w:numId w:val="21"/>
        </w:numPr>
        <w:tabs>
          <w:tab w:val="left" w:pos="0"/>
        </w:tabs>
        <w:adjustRightInd w:val="0"/>
        <w:spacing w:line="360" w:lineRule="auto"/>
        <w:ind w:left="0" w:firstLine="426"/>
        <w:rPr>
          <w:color w:val="auto"/>
          <w:highlight w:val="none"/>
        </w:rPr>
      </w:pPr>
      <w:r>
        <w:rPr>
          <w:rFonts w:hint="eastAsia"/>
          <w:color w:val="auto"/>
          <w:highlight w:val="none"/>
        </w:rPr>
        <w:t>在报价时间截止后送达的响应文件、以及未送达指定抵挡的响应文件将被拒收。</w:t>
      </w:r>
    </w:p>
    <w:p w14:paraId="0E7D8792">
      <w:pPr>
        <w:numPr>
          <w:ilvl w:val="1"/>
          <w:numId w:val="21"/>
        </w:numPr>
        <w:tabs>
          <w:tab w:val="left" w:pos="0"/>
        </w:tabs>
        <w:adjustRightInd w:val="0"/>
        <w:spacing w:line="360" w:lineRule="auto"/>
        <w:ind w:left="0" w:firstLine="425"/>
        <w:rPr>
          <w:color w:val="auto"/>
          <w:highlight w:val="none"/>
        </w:rPr>
      </w:pPr>
      <w:r>
        <w:rPr>
          <w:rFonts w:hint="eastAsia"/>
          <w:color w:val="auto"/>
          <w:highlight w:val="none"/>
        </w:rPr>
        <w:t>响应文件的修改与撤回</w:t>
      </w:r>
    </w:p>
    <w:p w14:paraId="28B4CA46">
      <w:pPr>
        <w:adjustRightInd w:val="0"/>
        <w:spacing w:line="360" w:lineRule="auto"/>
        <w:ind w:firstLine="424" w:firstLineChars="202"/>
        <w:rPr>
          <w:color w:val="auto"/>
          <w:highlight w:val="none"/>
        </w:rPr>
      </w:pPr>
      <w:r>
        <w:rPr>
          <w:rFonts w:hint="eastAsia"/>
          <w:color w:val="auto"/>
          <w:highlight w:val="none"/>
        </w:rPr>
        <w:t>在</w:t>
      </w:r>
      <w:r>
        <w:rPr>
          <w:rFonts w:hint="eastAsia"/>
          <w:color w:val="auto"/>
          <w:highlight w:val="none"/>
          <w:lang w:eastAsia="zh-CN"/>
        </w:rPr>
        <w:t>谈判文件</w:t>
      </w:r>
      <w:r>
        <w:rPr>
          <w:rFonts w:hint="eastAsia"/>
          <w:color w:val="auto"/>
          <w:highlight w:val="none"/>
        </w:rPr>
        <w:t>规定的提交响应文件的截止时间前，供应商可以修改或撤回已递交的响应文件，但应以书面形式通知</w:t>
      </w:r>
      <w:r>
        <w:rPr>
          <w:rFonts w:hint="eastAsia"/>
          <w:color w:val="auto"/>
          <w:highlight w:val="none"/>
          <w:lang w:eastAsia="zh-CN"/>
        </w:rPr>
        <w:t>采购人</w:t>
      </w:r>
      <w:r>
        <w:rPr>
          <w:rFonts w:hint="eastAsia"/>
          <w:color w:val="auto"/>
          <w:highlight w:val="none"/>
        </w:rPr>
        <w:t>。</w:t>
      </w:r>
    </w:p>
    <w:p w14:paraId="2D523571">
      <w:pPr>
        <w:numPr>
          <w:ilvl w:val="2"/>
          <w:numId w:val="21"/>
        </w:numPr>
        <w:tabs>
          <w:tab w:val="left" w:pos="0"/>
        </w:tabs>
        <w:adjustRightInd w:val="0"/>
        <w:spacing w:line="360" w:lineRule="auto"/>
        <w:ind w:left="0" w:firstLine="426"/>
        <w:rPr>
          <w:color w:val="auto"/>
          <w:highlight w:val="none"/>
        </w:rPr>
      </w:pPr>
      <w:r>
        <w:rPr>
          <w:rFonts w:hint="eastAsia"/>
          <w:color w:val="auto"/>
          <w:highlight w:val="none"/>
        </w:rPr>
        <w:t>谈判供应商在谈判截止时间前对所递交的响应文件进行补充、修改的，补充、修改的内容应当按本须知要求编制、签署、盖章、密封、标记、提交、表明“修改”字样，并作为响应文件的组成部分。</w:t>
      </w:r>
    </w:p>
    <w:p w14:paraId="2F9226E2">
      <w:pPr>
        <w:pStyle w:val="76"/>
        <w:numPr>
          <w:ilvl w:val="0"/>
          <w:numId w:val="8"/>
        </w:numPr>
        <w:tabs>
          <w:tab w:val="left" w:pos="640"/>
        </w:tabs>
        <w:ind w:hanging="704"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rPr>
        <w:t>谈判和评审</w:t>
      </w:r>
    </w:p>
    <w:p w14:paraId="26EF79A7">
      <w:pPr>
        <w:keepNext/>
        <w:keepLines/>
        <w:numPr>
          <w:ilvl w:val="0"/>
          <w:numId w:val="22"/>
        </w:numPr>
        <w:adjustRightInd w:val="0"/>
        <w:spacing w:before="260" w:after="260"/>
        <w:outlineLvl w:val="2"/>
        <w:rPr>
          <w:color w:val="auto"/>
          <w:sz w:val="24"/>
          <w:highlight w:val="none"/>
        </w:rPr>
      </w:pPr>
      <w:r>
        <w:rPr>
          <w:rFonts w:hint="eastAsia" w:cs="宋体"/>
          <w:b/>
          <w:bCs/>
          <w:color w:val="auto"/>
          <w:sz w:val="24"/>
          <w:highlight w:val="none"/>
        </w:rPr>
        <w:t>谈判小组</w:t>
      </w:r>
    </w:p>
    <w:p w14:paraId="7E035A8B">
      <w:pPr>
        <w:numPr>
          <w:ilvl w:val="1"/>
          <w:numId w:val="23"/>
        </w:numPr>
        <w:tabs>
          <w:tab w:val="left" w:pos="0"/>
        </w:tabs>
        <w:adjustRightInd w:val="0"/>
        <w:spacing w:line="360" w:lineRule="auto"/>
        <w:ind w:left="0" w:firstLine="425"/>
        <w:rPr>
          <w:color w:val="auto"/>
          <w:highlight w:val="none"/>
        </w:rPr>
      </w:pPr>
      <w:r>
        <w:rPr>
          <w:rFonts w:hint="eastAsia"/>
          <w:color w:val="auto"/>
          <w:highlight w:val="none"/>
          <w:lang w:eastAsia="zh-CN"/>
        </w:rPr>
        <w:t>采购人</w:t>
      </w:r>
      <w:r>
        <w:rPr>
          <w:rFonts w:hint="eastAsia"/>
          <w:color w:val="auto"/>
          <w:highlight w:val="none"/>
        </w:rPr>
        <w:t>将根据本采购项目特点组建谈判小组，谈判小组对响应文件进行审查、质疑、比较和评价。</w:t>
      </w:r>
    </w:p>
    <w:p w14:paraId="090F48A0">
      <w:pPr>
        <w:numPr>
          <w:ilvl w:val="1"/>
          <w:numId w:val="23"/>
        </w:numPr>
        <w:tabs>
          <w:tab w:val="left" w:pos="0"/>
        </w:tabs>
        <w:adjustRightInd w:val="0"/>
        <w:spacing w:line="360" w:lineRule="auto"/>
        <w:ind w:left="0" w:firstLine="425"/>
        <w:rPr>
          <w:color w:val="auto"/>
          <w:highlight w:val="none"/>
        </w:rPr>
      </w:pPr>
      <w:r>
        <w:rPr>
          <w:rFonts w:hint="eastAsia"/>
          <w:color w:val="auto"/>
          <w:highlight w:val="none"/>
        </w:rPr>
        <w:t>谈判小组成员有下列情形之一的，应当回避：</w:t>
      </w:r>
    </w:p>
    <w:p w14:paraId="2A151166">
      <w:pPr>
        <w:pStyle w:val="119"/>
        <w:numPr>
          <w:ilvl w:val="0"/>
          <w:numId w:val="24"/>
        </w:numPr>
        <w:adjustRightInd w:val="0"/>
        <w:spacing w:line="360" w:lineRule="auto"/>
        <w:ind w:left="992" w:hanging="572" w:firstLineChars="0"/>
        <w:rPr>
          <w:color w:val="auto"/>
          <w:highlight w:val="none"/>
        </w:rPr>
      </w:pPr>
      <w:r>
        <w:rPr>
          <w:rFonts w:hint="eastAsia"/>
          <w:color w:val="auto"/>
          <w:highlight w:val="none"/>
        </w:rPr>
        <w:t>参加采购活动前3年内与供应商存在劳动关系；</w:t>
      </w:r>
    </w:p>
    <w:p w14:paraId="7F13C69A">
      <w:pPr>
        <w:pStyle w:val="119"/>
        <w:numPr>
          <w:ilvl w:val="0"/>
          <w:numId w:val="24"/>
        </w:numPr>
        <w:adjustRightInd w:val="0"/>
        <w:spacing w:line="360" w:lineRule="auto"/>
        <w:ind w:left="992" w:hanging="572" w:firstLineChars="0"/>
        <w:rPr>
          <w:color w:val="auto"/>
          <w:highlight w:val="none"/>
        </w:rPr>
      </w:pPr>
      <w:r>
        <w:rPr>
          <w:rFonts w:hint="eastAsia"/>
          <w:color w:val="auto"/>
          <w:highlight w:val="none"/>
        </w:rPr>
        <w:t>参加采购活动前3年内担任供应商的董事、监事；</w:t>
      </w:r>
    </w:p>
    <w:p w14:paraId="4D935586">
      <w:pPr>
        <w:pStyle w:val="119"/>
        <w:numPr>
          <w:ilvl w:val="0"/>
          <w:numId w:val="24"/>
        </w:numPr>
        <w:adjustRightInd w:val="0"/>
        <w:spacing w:line="360" w:lineRule="auto"/>
        <w:ind w:left="992" w:hanging="572" w:firstLineChars="0"/>
        <w:rPr>
          <w:color w:val="auto"/>
          <w:highlight w:val="none"/>
        </w:rPr>
      </w:pPr>
      <w:r>
        <w:rPr>
          <w:rFonts w:hint="eastAsia"/>
          <w:color w:val="auto"/>
          <w:highlight w:val="none"/>
        </w:rPr>
        <w:t>参加采购活动前3年内是供应商的控股股东或者实际控制人；</w:t>
      </w:r>
    </w:p>
    <w:p w14:paraId="20EAF6D2">
      <w:pPr>
        <w:pStyle w:val="119"/>
        <w:numPr>
          <w:ilvl w:val="0"/>
          <w:numId w:val="24"/>
        </w:numPr>
        <w:adjustRightInd w:val="0"/>
        <w:spacing w:line="360" w:lineRule="auto"/>
        <w:ind w:left="992" w:hanging="572" w:firstLineChars="0"/>
        <w:rPr>
          <w:color w:val="auto"/>
          <w:highlight w:val="none"/>
        </w:rPr>
      </w:pPr>
      <w:r>
        <w:rPr>
          <w:rFonts w:hint="eastAsia"/>
          <w:color w:val="auto"/>
          <w:highlight w:val="none"/>
        </w:rPr>
        <w:t>与供应商的法定代表人或者负责人有夫妻、直系血亲、三代以内旁系血亲或者近姻亲关系；</w:t>
      </w:r>
    </w:p>
    <w:p w14:paraId="1A82F3B0">
      <w:pPr>
        <w:pStyle w:val="119"/>
        <w:numPr>
          <w:ilvl w:val="0"/>
          <w:numId w:val="24"/>
        </w:numPr>
        <w:adjustRightInd w:val="0"/>
        <w:spacing w:line="360" w:lineRule="auto"/>
        <w:ind w:left="992" w:hanging="572" w:firstLineChars="0"/>
        <w:rPr>
          <w:color w:val="auto"/>
          <w:highlight w:val="none"/>
        </w:rPr>
      </w:pPr>
      <w:r>
        <w:rPr>
          <w:rFonts w:hint="eastAsia"/>
          <w:color w:val="auto"/>
          <w:highlight w:val="none"/>
        </w:rPr>
        <w:t>与供应商有其他可能影响企业采购活动公平、公正进行的关系。</w:t>
      </w:r>
    </w:p>
    <w:p w14:paraId="3223F339">
      <w:pPr>
        <w:keepNext/>
        <w:keepLines/>
        <w:numPr>
          <w:ilvl w:val="0"/>
          <w:numId w:val="22"/>
        </w:numPr>
        <w:adjustRightInd w:val="0"/>
        <w:spacing w:before="260" w:after="260"/>
        <w:outlineLvl w:val="2"/>
        <w:rPr>
          <w:rFonts w:cs="宋体"/>
          <w:b/>
          <w:bCs/>
          <w:color w:val="auto"/>
          <w:sz w:val="24"/>
          <w:highlight w:val="none"/>
        </w:rPr>
      </w:pPr>
      <w:r>
        <w:rPr>
          <w:rFonts w:hint="eastAsia" w:cs="宋体"/>
          <w:b/>
          <w:bCs/>
          <w:color w:val="auto"/>
          <w:sz w:val="24"/>
          <w:highlight w:val="none"/>
        </w:rPr>
        <w:t>初步评审</w:t>
      </w:r>
    </w:p>
    <w:p w14:paraId="4B9A12FE">
      <w:pPr>
        <w:pStyle w:val="119"/>
        <w:numPr>
          <w:ilvl w:val="0"/>
          <w:numId w:val="23"/>
        </w:numPr>
        <w:tabs>
          <w:tab w:val="left" w:pos="0"/>
        </w:tabs>
        <w:adjustRightInd w:val="0"/>
        <w:spacing w:line="360" w:lineRule="auto"/>
        <w:ind w:firstLineChars="0"/>
        <w:rPr>
          <w:vanish/>
          <w:color w:val="auto"/>
          <w:highlight w:val="none"/>
        </w:rPr>
      </w:pPr>
    </w:p>
    <w:p w14:paraId="62FF5E24">
      <w:pPr>
        <w:numPr>
          <w:ilvl w:val="1"/>
          <w:numId w:val="23"/>
        </w:numPr>
        <w:tabs>
          <w:tab w:val="left" w:pos="0"/>
        </w:tabs>
        <w:adjustRightInd w:val="0"/>
        <w:spacing w:line="360" w:lineRule="auto"/>
        <w:ind w:left="0" w:firstLine="426"/>
        <w:rPr>
          <w:color w:val="auto"/>
          <w:highlight w:val="none"/>
        </w:rPr>
      </w:pPr>
      <w:r>
        <w:rPr>
          <w:rFonts w:hint="eastAsia"/>
          <w:color w:val="auto"/>
          <w:highlight w:val="none"/>
        </w:rPr>
        <w:t>资格性检查。谈判小组依据法律法规和谈判文件的规定，按照供应商须知前附表</w:t>
      </w:r>
      <w:r>
        <w:rPr>
          <w:rFonts w:hint="eastAsia"/>
          <w:color w:val="auto"/>
          <w:highlight w:val="none"/>
          <w:lang w:val="en-US" w:eastAsia="zh-CN"/>
        </w:rPr>
        <w:t>2</w:t>
      </w:r>
      <w:r>
        <w:rPr>
          <w:rFonts w:hint="eastAsia"/>
          <w:color w:val="auto"/>
          <w:highlight w:val="none"/>
        </w:rPr>
        <w:t>中的要求对响应文件的证明文件、资格文件等进行审查，以确定谈判供应商是否具备谈判资格。如果供应商不具备谈判资格，不满足</w:t>
      </w:r>
      <w:r>
        <w:rPr>
          <w:rFonts w:hint="eastAsia"/>
          <w:color w:val="auto"/>
          <w:highlight w:val="none"/>
          <w:lang w:eastAsia="zh-CN"/>
        </w:rPr>
        <w:t>谈判文件</w:t>
      </w:r>
      <w:r>
        <w:rPr>
          <w:rFonts w:hint="eastAsia"/>
          <w:color w:val="auto"/>
          <w:highlight w:val="none"/>
        </w:rPr>
        <w:t>所规定的的资格标准或提供资格证明文件不全的，其响应文件将被拒绝。</w:t>
      </w:r>
    </w:p>
    <w:p w14:paraId="7D0E1A0C">
      <w:pPr>
        <w:numPr>
          <w:ilvl w:val="1"/>
          <w:numId w:val="23"/>
        </w:numPr>
        <w:tabs>
          <w:tab w:val="left" w:pos="0"/>
        </w:tabs>
        <w:adjustRightInd w:val="0"/>
        <w:spacing w:line="360" w:lineRule="auto"/>
        <w:ind w:left="0" w:firstLine="426"/>
        <w:rPr>
          <w:color w:val="auto"/>
          <w:highlight w:val="none"/>
        </w:rPr>
      </w:pPr>
      <w:r>
        <w:rPr>
          <w:rFonts w:hint="eastAsia"/>
          <w:color w:val="auto"/>
          <w:highlight w:val="none"/>
        </w:rPr>
        <w:t>符合性检查。谈判小组依据谈判文件的规定，按照供应商须知前附表</w:t>
      </w:r>
      <w:r>
        <w:rPr>
          <w:rFonts w:hint="eastAsia"/>
          <w:color w:val="auto"/>
          <w:highlight w:val="none"/>
          <w:lang w:val="en-US" w:eastAsia="zh-CN"/>
        </w:rPr>
        <w:t>2</w:t>
      </w:r>
      <w:r>
        <w:rPr>
          <w:rFonts w:hint="eastAsia"/>
          <w:color w:val="auto"/>
          <w:highlight w:val="none"/>
        </w:rPr>
        <w:t>中的要求从响应文件的有效性、完整性和对谈判文件的响应程度进行审查，以确定是否对谈判文件的实质性要求做出完全响应。对于没有实质性响应的响应文件将不进行评估，其响应文件将被作为无效文件处理。</w:t>
      </w:r>
    </w:p>
    <w:p w14:paraId="0F20A633">
      <w:pPr>
        <w:numPr>
          <w:ilvl w:val="1"/>
          <w:numId w:val="23"/>
        </w:numPr>
        <w:tabs>
          <w:tab w:val="left" w:pos="0"/>
        </w:tabs>
        <w:adjustRightInd w:val="0"/>
        <w:spacing w:line="360" w:lineRule="auto"/>
        <w:ind w:left="0" w:firstLine="426"/>
        <w:rPr>
          <w:color w:val="auto"/>
          <w:highlight w:val="none"/>
        </w:rPr>
      </w:pPr>
      <w:r>
        <w:rPr>
          <w:rFonts w:hint="eastAsia"/>
          <w:color w:val="auto"/>
          <w:highlight w:val="none"/>
        </w:rPr>
        <w:t>响应文件的澄清。谈判小组对响应文件中含义不明确、同类问题表述不一致或者有明显文字和计算错误的内容，可以书面形式要求谈判供应商做出必要的澄清、说明或者纠正。澄清、说明或者补正应以书面形式进行，并要求其在规定的时间内由供应商的法定代表人或其授权的代理人签字或加盖公章。澄清、说明或补正不得超出响应文件的范围且不得改变响应文件的实质性内容，并构成响应文件的组成部分。</w:t>
      </w:r>
    </w:p>
    <w:p w14:paraId="6BDDE2AD">
      <w:pPr>
        <w:numPr>
          <w:ilvl w:val="1"/>
          <w:numId w:val="23"/>
        </w:numPr>
        <w:tabs>
          <w:tab w:val="left" w:pos="0"/>
        </w:tabs>
        <w:adjustRightInd w:val="0"/>
        <w:spacing w:line="360" w:lineRule="auto"/>
        <w:ind w:left="0" w:firstLine="426"/>
        <w:rPr>
          <w:color w:val="auto"/>
          <w:highlight w:val="none"/>
        </w:rPr>
      </w:pPr>
      <w:r>
        <w:rPr>
          <w:rFonts w:hint="eastAsia"/>
          <w:color w:val="auto"/>
          <w:highlight w:val="none"/>
        </w:rPr>
        <w:t>谈判小组不接受谈判供应商主动提出的澄清、说明。</w:t>
      </w:r>
    </w:p>
    <w:p w14:paraId="5E718D00">
      <w:pPr>
        <w:keepNext/>
        <w:keepLines/>
        <w:numPr>
          <w:ilvl w:val="0"/>
          <w:numId w:val="22"/>
        </w:numPr>
        <w:adjustRightInd w:val="0"/>
        <w:spacing w:before="260" w:after="260"/>
        <w:outlineLvl w:val="2"/>
        <w:rPr>
          <w:rFonts w:cs="宋体"/>
          <w:b/>
          <w:bCs/>
          <w:color w:val="auto"/>
          <w:sz w:val="24"/>
          <w:highlight w:val="none"/>
        </w:rPr>
      </w:pPr>
      <w:r>
        <w:rPr>
          <w:rFonts w:hint="eastAsia" w:cs="宋体"/>
          <w:b/>
          <w:bCs/>
          <w:color w:val="auto"/>
          <w:sz w:val="24"/>
          <w:highlight w:val="none"/>
        </w:rPr>
        <w:t>谈判</w:t>
      </w:r>
    </w:p>
    <w:p w14:paraId="3DC7FE1F">
      <w:pPr>
        <w:pStyle w:val="119"/>
        <w:numPr>
          <w:ilvl w:val="0"/>
          <w:numId w:val="23"/>
        </w:numPr>
        <w:tabs>
          <w:tab w:val="left" w:pos="0"/>
        </w:tabs>
        <w:adjustRightInd w:val="0"/>
        <w:spacing w:line="360" w:lineRule="auto"/>
        <w:ind w:firstLineChars="0"/>
        <w:rPr>
          <w:vanish/>
          <w:color w:val="auto"/>
          <w:highlight w:val="none"/>
        </w:rPr>
      </w:pPr>
    </w:p>
    <w:p w14:paraId="5A8A4E99">
      <w:pPr>
        <w:numPr>
          <w:ilvl w:val="1"/>
          <w:numId w:val="23"/>
        </w:numPr>
        <w:tabs>
          <w:tab w:val="left" w:pos="0"/>
        </w:tabs>
        <w:adjustRightInd w:val="0"/>
        <w:spacing w:line="360" w:lineRule="auto"/>
        <w:ind w:left="0" w:firstLine="425"/>
        <w:rPr>
          <w:color w:val="auto"/>
          <w:highlight w:val="none"/>
        </w:rPr>
      </w:pPr>
      <w:r>
        <w:rPr>
          <w:rFonts w:hint="eastAsia"/>
          <w:color w:val="auto"/>
          <w:highlight w:val="none"/>
        </w:rPr>
        <w:t>现场谈判的顺序将以抽签方式决定谈判顺序，谈判小组将与通过资格性检查和符合性检查的谈判供应商进行逐一谈判，轮次由谈判小组视谈判情况决定（至少会有2轮报价）。</w:t>
      </w:r>
    </w:p>
    <w:p w14:paraId="3E40D3ED">
      <w:pPr>
        <w:numPr>
          <w:ilvl w:val="1"/>
          <w:numId w:val="23"/>
        </w:numPr>
        <w:tabs>
          <w:tab w:val="left" w:pos="0"/>
        </w:tabs>
        <w:adjustRightInd w:val="0"/>
        <w:spacing w:line="360" w:lineRule="auto"/>
        <w:ind w:left="0" w:firstLine="425"/>
        <w:rPr>
          <w:color w:val="auto"/>
          <w:highlight w:val="none"/>
        </w:rPr>
      </w:pPr>
      <w:r>
        <w:rPr>
          <w:rFonts w:hint="eastAsia"/>
          <w:color w:val="auto"/>
          <w:highlight w:val="none"/>
        </w:rPr>
        <w:t>谈判小组经评审，认为所有文件都不符合</w:t>
      </w:r>
      <w:r>
        <w:rPr>
          <w:rFonts w:hint="eastAsia"/>
          <w:color w:val="auto"/>
          <w:highlight w:val="none"/>
          <w:lang w:eastAsia="zh-CN"/>
        </w:rPr>
        <w:t>谈判文件</w:t>
      </w:r>
      <w:r>
        <w:rPr>
          <w:rFonts w:hint="eastAsia"/>
          <w:color w:val="auto"/>
          <w:highlight w:val="none"/>
        </w:rPr>
        <w:t>要求的，可以否决所有响应文件。</w:t>
      </w:r>
    </w:p>
    <w:p w14:paraId="6D2CB407">
      <w:pPr>
        <w:numPr>
          <w:ilvl w:val="1"/>
          <w:numId w:val="23"/>
        </w:numPr>
        <w:tabs>
          <w:tab w:val="left" w:pos="0"/>
        </w:tabs>
        <w:adjustRightInd w:val="0"/>
        <w:spacing w:line="360" w:lineRule="auto"/>
        <w:ind w:left="0" w:firstLine="425"/>
        <w:rPr>
          <w:color w:val="auto"/>
          <w:highlight w:val="none"/>
        </w:rPr>
      </w:pPr>
      <w:r>
        <w:rPr>
          <w:rFonts w:hint="eastAsia"/>
          <w:color w:val="auto"/>
          <w:highlight w:val="none"/>
        </w:rPr>
        <w:t>对漏（缺）报价的处理：</w:t>
      </w:r>
      <w:r>
        <w:rPr>
          <w:rFonts w:hint="eastAsia"/>
          <w:color w:val="auto"/>
          <w:highlight w:val="none"/>
          <w:lang w:eastAsia="zh-CN"/>
        </w:rPr>
        <w:t>谈判文件</w:t>
      </w:r>
      <w:r>
        <w:rPr>
          <w:rFonts w:hint="eastAsia"/>
          <w:color w:val="auto"/>
          <w:highlight w:val="none"/>
        </w:rPr>
        <w:t>中要求列入报价的费用（含配置、功能等），漏（缺）报的视同已含在响应总报价中，但在评审时取有效谈判供应商该项最高报价加入漏（缺）报供应商的报价进行评审。对多报项及赠送项的价格评审时不予核减，全部进入评审价评议。</w:t>
      </w:r>
    </w:p>
    <w:p w14:paraId="615BF7EC">
      <w:pPr>
        <w:numPr>
          <w:ilvl w:val="1"/>
          <w:numId w:val="23"/>
        </w:numPr>
        <w:tabs>
          <w:tab w:val="left" w:pos="0"/>
        </w:tabs>
        <w:adjustRightInd w:val="0"/>
        <w:spacing w:line="360" w:lineRule="auto"/>
        <w:ind w:left="0" w:firstLine="425"/>
        <w:rPr>
          <w:color w:val="auto"/>
          <w:highlight w:val="none"/>
        </w:rPr>
      </w:pPr>
      <w:r>
        <w:rPr>
          <w:rFonts w:hint="eastAsia"/>
          <w:color w:val="auto"/>
          <w:highlight w:val="none"/>
        </w:rPr>
        <w:t>谈判小组所有成员应集中与供应商逐一进行谈判，并给予所有参加谈判的供应商平等的谈判机会。供应商谈判代表在谈判中做出的承诺构成响应文件的组成部分。</w:t>
      </w:r>
    </w:p>
    <w:p w14:paraId="01FD48CC">
      <w:pPr>
        <w:numPr>
          <w:ilvl w:val="1"/>
          <w:numId w:val="23"/>
        </w:numPr>
        <w:tabs>
          <w:tab w:val="left" w:pos="0"/>
        </w:tabs>
        <w:adjustRightInd w:val="0"/>
        <w:spacing w:line="360" w:lineRule="auto"/>
        <w:ind w:left="142" w:firstLine="283"/>
        <w:rPr>
          <w:color w:val="auto"/>
          <w:highlight w:val="none"/>
        </w:rPr>
      </w:pPr>
      <w:r>
        <w:rPr>
          <w:rFonts w:hint="eastAsia"/>
          <w:color w:val="auto"/>
          <w:highlight w:val="none"/>
        </w:rPr>
        <w:t>谈判小组认为谈判供应商的报价明显低于其他通过符合性审查供应商的报价，有可能影响产品质量或者不能诚信履约的，应当要求其在评标现场合理的时间内提供书面说明。必要时提交相关证明材料；供应商不能证明其报价合理性的，谈判小组将其作为无效报价处理。</w:t>
      </w:r>
    </w:p>
    <w:p w14:paraId="0FFB2D08">
      <w:pPr>
        <w:numPr>
          <w:ilvl w:val="1"/>
          <w:numId w:val="23"/>
        </w:numPr>
        <w:tabs>
          <w:tab w:val="left" w:pos="0"/>
        </w:tabs>
        <w:adjustRightInd w:val="0"/>
        <w:spacing w:line="360" w:lineRule="auto"/>
        <w:ind w:left="142" w:firstLine="283"/>
        <w:rPr>
          <w:color w:val="auto"/>
          <w:highlight w:val="none"/>
        </w:rPr>
      </w:pPr>
      <w:r>
        <w:rPr>
          <w:rFonts w:hint="eastAsia"/>
          <w:color w:val="auto"/>
          <w:highlight w:val="none"/>
        </w:rPr>
        <w:t>比较和评价。谈判小组按谈判文件中规定的技术条款、商务条款、谈判供应商的谈判结果及评审方式，综合比较与评价，按照最优在先原则推荐候选成交供应商。</w:t>
      </w:r>
    </w:p>
    <w:p w14:paraId="027A7E11">
      <w:pPr>
        <w:numPr>
          <w:ilvl w:val="1"/>
          <w:numId w:val="23"/>
        </w:numPr>
        <w:tabs>
          <w:tab w:val="left" w:pos="0"/>
        </w:tabs>
        <w:adjustRightInd w:val="0"/>
        <w:spacing w:line="360" w:lineRule="auto"/>
        <w:ind w:left="142" w:firstLine="283"/>
        <w:rPr>
          <w:color w:val="auto"/>
          <w:highlight w:val="none"/>
        </w:rPr>
      </w:pPr>
      <w:r>
        <w:rPr>
          <w:rFonts w:hint="eastAsia"/>
          <w:color w:val="auto"/>
          <w:highlight w:val="none"/>
        </w:rPr>
        <w:t>谈判小组将根据供应商的报价情况按合同包或全部合同包报价进行综合评估。</w:t>
      </w:r>
    </w:p>
    <w:p w14:paraId="6B643CE7">
      <w:pPr>
        <w:keepNext/>
        <w:keepLines/>
        <w:numPr>
          <w:ilvl w:val="0"/>
          <w:numId w:val="22"/>
        </w:numPr>
        <w:adjustRightInd w:val="0"/>
        <w:spacing w:before="260" w:after="260"/>
        <w:outlineLvl w:val="2"/>
        <w:rPr>
          <w:color w:val="auto"/>
          <w:sz w:val="24"/>
          <w:highlight w:val="none"/>
        </w:rPr>
      </w:pPr>
      <w:r>
        <w:rPr>
          <w:rFonts w:hint="eastAsia" w:cs="宋体"/>
          <w:b/>
          <w:bCs/>
          <w:color w:val="auto"/>
          <w:sz w:val="24"/>
          <w:highlight w:val="none"/>
        </w:rPr>
        <w:t>谈判过程的纪律</w:t>
      </w:r>
    </w:p>
    <w:p w14:paraId="01D73777">
      <w:pPr>
        <w:pStyle w:val="119"/>
        <w:numPr>
          <w:ilvl w:val="0"/>
          <w:numId w:val="25"/>
        </w:numPr>
        <w:tabs>
          <w:tab w:val="left" w:pos="0"/>
        </w:tabs>
        <w:adjustRightInd w:val="0"/>
        <w:spacing w:line="360" w:lineRule="auto"/>
        <w:ind w:firstLineChars="0"/>
        <w:rPr>
          <w:vanish/>
          <w:color w:val="auto"/>
          <w:highlight w:val="none"/>
        </w:rPr>
      </w:pPr>
    </w:p>
    <w:p w14:paraId="0B97AED3">
      <w:pPr>
        <w:pStyle w:val="119"/>
        <w:numPr>
          <w:ilvl w:val="0"/>
          <w:numId w:val="25"/>
        </w:numPr>
        <w:tabs>
          <w:tab w:val="left" w:pos="0"/>
        </w:tabs>
        <w:adjustRightInd w:val="0"/>
        <w:spacing w:line="360" w:lineRule="auto"/>
        <w:ind w:firstLineChars="0"/>
        <w:rPr>
          <w:vanish/>
          <w:color w:val="auto"/>
          <w:highlight w:val="none"/>
        </w:rPr>
      </w:pPr>
    </w:p>
    <w:p w14:paraId="3741EA41">
      <w:pPr>
        <w:pStyle w:val="119"/>
        <w:numPr>
          <w:ilvl w:val="0"/>
          <w:numId w:val="25"/>
        </w:numPr>
        <w:tabs>
          <w:tab w:val="left" w:pos="0"/>
        </w:tabs>
        <w:adjustRightInd w:val="0"/>
        <w:spacing w:line="360" w:lineRule="auto"/>
        <w:ind w:firstLineChars="0"/>
        <w:rPr>
          <w:vanish/>
          <w:color w:val="auto"/>
          <w:highlight w:val="none"/>
        </w:rPr>
      </w:pPr>
    </w:p>
    <w:p w14:paraId="55B2CA39">
      <w:pPr>
        <w:pStyle w:val="119"/>
        <w:numPr>
          <w:ilvl w:val="0"/>
          <w:numId w:val="25"/>
        </w:numPr>
        <w:tabs>
          <w:tab w:val="left" w:pos="0"/>
        </w:tabs>
        <w:adjustRightInd w:val="0"/>
        <w:spacing w:line="360" w:lineRule="auto"/>
        <w:ind w:firstLineChars="0"/>
        <w:rPr>
          <w:vanish/>
          <w:color w:val="auto"/>
          <w:highlight w:val="none"/>
        </w:rPr>
      </w:pPr>
    </w:p>
    <w:p w14:paraId="0C82905B">
      <w:pPr>
        <w:numPr>
          <w:ilvl w:val="1"/>
          <w:numId w:val="25"/>
        </w:numPr>
        <w:tabs>
          <w:tab w:val="left" w:pos="0"/>
        </w:tabs>
        <w:adjustRightInd w:val="0"/>
        <w:spacing w:line="360" w:lineRule="auto"/>
        <w:rPr>
          <w:color w:val="auto"/>
          <w:highlight w:val="none"/>
        </w:rPr>
      </w:pPr>
      <w:r>
        <w:rPr>
          <w:rFonts w:hint="eastAsia"/>
          <w:color w:val="auto"/>
          <w:highlight w:val="none"/>
        </w:rPr>
        <w:t>谈判供应商申报的关于资质的文件和材料必须真实准确，不得弄虚作假。</w:t>
      </w:r>
    </w:p>
    <w:p w14:paraId="384AD5CE">
      <w:pPr>
        <w:numPr>
          <w:ilvl w:val="1"/>
          <w:numId w:val="25"/>
        </w:numPr>
        <w:tabs>
          <w:tab w:val="left" w:pos="0"/>
        </w:tabs>
        <w:adjustRightInd w:val="0"/>
        <w:spacing w:line="360" w:lineRule="auto"/>
        <w:rPr>
          <w:color w:val="auto"/>
          <w:highlight w:val="none"/>
        </w:rPr>
      </w:pPr>
      <w:r>
        <w:rPr>
          <w:rFonts w:hint="eastAsia"/>
          <w:color w:val="auto"/>
          <w:highlight w:val="none"/>
        </w:rPr>
        <w:t>谈判供应商不得串通作弊，哄抬报价，致使定价困难或无法定价。</w:t>
      </w:r>
    </w:p>
    <w:p w14:paraId="53CB16BC">
      <w:pPr>
        <w:numPr>
          <w:ilvl w:val="1"/>
          <w:numId w:val="25"/>
        </w:numPr>
        <w:tabs>
          <w:tab w:val="left" w:pos="0"/>
        </w:tabs>
        <w:adjustRightInd w:val="0"/>
        <w:spacing w:line="360" w:lineRule="auto"/>
        <w:rPr>
          <w:color w:val="auto"/>
          <w:highlight w:val="none"/>
        </w:rPr>
      </w:pPr>
      <w:r>
        <w:rPr>
          <w:rFonts w:hint="eastAsia"/>
          <w:color w:val="auto"/>
          <w:highlight w:val="none"/>
        </w:rPr>
        <w:t>不得采用不正当手段妨碍、排挤其他供应商，破坏公平竞争。</w:t>
      </w:r>
    </w:p>
    <w:p w14:paraId="0EF0E50D">
      <w:pPr>
        <w:numPr>
          <w:ilvl w:val="1"/>
          <w:numId w:val="25"/>
        </w:numPr>
        <w:tabs>
          <w:tab w:val="left" w:pos="0"/>
        </w:tabs>
        <w:adjustRightInd w:val="0"/>
        <w:spacing w:line="360" w:lineRule="auto"/>
        <w:rPr>
          <w:color w:val="auto"/>
          <w:highlight w:val="none"/>
        </w:rPr>
      </w:pPr>
      <w:r>
        <w:rPr>
          <w:rFonts w:hint="eastAsia"/>
          <w:color w:val="auto"/>
          <w:highlight w:val="none"/>
        </w:rPr>
        <w:t>谈判供应商不得以任何形式打听和搜集谈判机密，不得以任何形式干扰谈判工作。</w:t>
      </w:r>
    </w:p>
    <w:p w14:paraId="1D36DE5A">
      <w:pPr>
        <w:numPr>
          <w:ilvl w:val="1"/>
          <w:numId w:val="25"/>
        </w:numPr>
        <w:tabs>
          <w:tab w:val="left" w:pos="0"/>
        </w:tabs>
        <w:adjustRightInd w:val="0"/>
        <w:spacing w:line="360" w:lineRule="auto"/>
        <w:rPr>
          <w:color w:val="auto"/>
          <w:highlight w:val="none"/>
        </w:rPr>
      </w:pPr>
      <w:r>
        <w:rPr>
          <w:rFonts w:hint="eastAsia"/>
          <w:color w:val="auto"/>
          <w:highlight w:val="none"/>
        </w:rPr>
        <w:t>谈判供应商若违反上述</w:t>
      </w:r>
      <w:r>
        <w:rPr>
          <w:rFonts w:hint="eastAsia"/>
          <w:color w:val="auto"/>
          <w:highlight w:val="none"/>
          <w:lang w:val="en-US" w:eastAsia="zh-CN"/>
        </w:rPr>
        <w:t>4</w:t>
      </w:r>
      <w:r>
        <w:rPr>
          <w:rFonts w:hint="eastAsia"/>
          <w:color w:val="auto"/>
          <w:highlight w:val="none"/>
        </w:rPr>
        <w:t>.1-</w:t>
      </w:r>
      <w:r>
        <w:rPr>
          <w:rFonts w:hint="eastAsia"/>
          <w:color w:val="auto"/>
          <w:highlight w:val="none"/>
          <w:lang w:val="en-US" w:eastAsia="zh-CN"/>
        </w:rPr>
        <w:t>4</w:t>
      </w:r>
      <w:r>
        <w:rPr>
          <w:rFonts w:hint="eastAsia"/>
          <w:color w:val="auto"/>
          <w:highlight w:val="none"/>
        </w:rPr>
        <w:t>.4要求的，其响应文件将被废除。</w:t>
      </w:r>
    </w:p>
    <w:p w14:paraId="19714A4B">
      <w:pPr>
        <w:numPr>
          <w:ilvl w:val="1"/>
          <w:numId w:val="25"/>
        </w:numPr>
        <w:tabs>
          <w:tab w:val="left" w:pos="0"/>
        </w:tabs>
        <w:adjustRightInd w:val="0"/>
        <w:spacing w:line="360" w:lineRule="auto"/>
        <w:ind w:left="0" w:firstLine="425"/>
        <w:rPr>
          <w:color w:val="auto"/>
          <w:highlight w:val="none"/>
        </w:rPr>
      </w:pPr>
      <w:r>
        <w:rPr>
          <w:rFonts w:hint="eastAsia"/>
          <w:color w:val="auto"/>
          <w:highlight w:val="none"/>
          <w:lang w:eastAsia="zh-CN"/>
        </w:rPr>
        <w:t>采购</w:t>
      </w:r>
      <w:r>
        <w:rPr>
          <w:rFonts w:hint="eastAsia"/>
          <w:color w:val="auto"/>
          <w:highlight w:val="none"/>
          <w:lang w:val="en-US" w:eastAsia="zh-CN"/>
        </w:rPr>
        <w:t>人及采购人</w:t>
      </w:r>
      <w:r>
        <w:rPr>
          <w:rFonts w:hint="eastAsia"/>
          <w:color w:val="auto"/>
          <w:highlight w:val="none"/>
        </w:rPr>
        <w:t>承诺从谈判报价截止日期到签订合同时止，有关响应文件的审查、澄清、评价以及有关签订合同的意向等一切情况都不得透露给谈判供应商或与上述工作无关的单位和个人。</w:t>
      </w:r>
    </w:p>
    <w:p w14:paraId="6398BDA5">
      <w:pPr>
        <w:numPr>
          <w:ilvl w:val="1"/>
          <w:numId w:val="25"/>
        </w:numPr>
        <w:tabs>
          <w:tab w:val="left" w:pos="0"/>
        </w:tabs>
        <w:adjustRightInd w:val="0"/>
        <w:spacing w:line="360" w:lineRule="auto"/>
        <w:ind w:left="0" w:firstLine="425"/>
        <w:rPr>
          <w:color w:val="auto"/>
          <w:highlight w:val="none"/>
        </w:rPr>
      </w:pP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有权选择或拒绝候选成交供应商，而无义务向谈判供应商进行任何有关评审的解释。</w:t>
      </w:r>
    </w:p>
    <w:p w14:paraId="07108BC9">
      <w:pPr>
        <w:keepNext/>
        <w:keepLines/>
        <w:numPr>
          <w:ilvl w:val="0"/>
          <w:numId w:val="22"/>
        </w:numPr>
        <w:adjustRightInd w:val="0"/>
        <w:spacing w:before="260" w:after="260"/>
        <w:outlineLvl w:val="2"/>
        <w:rPr>
          <w:color w:val="auto"/>
          <w:sz w:val="24"/>
          <w:highlight w:val="none"/>
        </w:rPr>
      </w:pPr>
      <w:r>
        <w:rPr>
          <w:rFonts w:hint="eastAsia" w:cs="宋体"/>
          <w:b/>
          <w:bCs/>
          <w:color w:val="auto"/>
          <w:sz w:val="24"/>
          <w:highlight w:val="none"/>
        </w:rPr>
        <w:t>采购的有效性</w:t>
      </w:r>
    </w:p>
    <w:p w14:paraId="30BB5F46">
      <w:pPr>
        <w:spacing w:line="360" w:lineRule="auto"/>
        <w:ind w:firstLine="420" w:firstLineChars="200"/>
        <w:rPr>
          <w:color w:val="auto"/>
          <w:highlight w:val="none"/>
        </w:rPr>
      </w:pPr>
      <w:r>
        <w:rPr>
          <w:rFonts w:hint="eastAsia"/>
          <w:color w:val="auto"/>
          <w:highlight w:val="none"/>
        </w:rPr>
        <w:t>经</w:t>
      </w:r>
      <w:r>
        <w:rPr>
          <w:rFonts w:hint="eastAsia"/>
          <w:color w:val="auto"/>
          <w:highlight w:val="none"/>
          <w:lang w:val="en-US" w:eastAsia="zh-CN"/>
        </w:rPr>
        <w:t>谈判小组</w:t>
      </w:r>
      <w:r>
        <w:rPr>
          <w:rFonts w:hint="eastAsia"/>
          <w:color w:val="auto"/>
          <w:highlight w:val="none"/>
        </w:rPr>
        <w:t>评审，若本次报价超出</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财务预算或</w:t>
      </w:r>
      <w:r>
        <w:rPr>
          <w:rFonts w:hint="eastAsia"/>
          <w:color w:val="auto"/>
          <w:highlight w:val="none"/>
          <w:lang w:val="en-US" w:eastAsia="zh-CN"/>
        </w:rPr>
        <w:t>因供应商不足或其他</w:t>
      </w:r>
      <w:r>
        <w:rPr>
          <w:rFonts w:hint="eastAsia"/>
          <w:color w:val="auto"/>
          <w:highlight w:val="none"/>
        </w:rPr>
        <w:t>原因，经</w:t>
      </w:r>
      <w:r>
        <w:rPr>
          <w:rFonts w:hint="eastAsia"/>
          <w:color w:val="auto"/>
          <w:highlight w:val="none"/>
          <w:lang w:val="en-US" w:eastAsia="zh-CN"/>
        </w:rPr>
        <w:t>采购</w:t>
      </w:r>
      <w:r>
        <w:rPr>
          <w:rFonts w:hint="eastAsia"/>
          <w:color w:val="auto"/>
          <w:highlight w:val="none"/>
        </w:rPr>
        <w:t>人确认后，</w:t>
      </w:r>
      <w:r>
        <w:rPr>
          <w:rFonts w:hint="eastAsia"/>
          <w:color w:val="auto"/>
          <w:highlight w:val="none"/>
          <w:lang w:eastAsia="zh-CN"/>
        </w:rPr>
        <w:t>采购人</w:t>
      </w:r>
      <w:r>
        <w:rPr>
          <w:rFonts w:hint="eastAsia"/>
          <w:color w:val="auto"/>
          <w:highlight w:val="none"/>
        </w:rPr>
        <w:t>有权宣布本次采购无效</w:t>
      </w:r>
      <w:r>
        <w:rPr>
          <w:rFonts w:hint="eastAsia"/>
          <w:color w:val="auto"/>
          <w:highlight w:val="none"/>
          <w:lang w:val="en-US" w:eastAsia="zh-CN"/>
        </w:rPr>
        <w:t>或流标</w:t>
      </w:r>
      <w:r>
        <w:rPr>
          <w:rFonts w:hint="eastAsia"/>
          <w:color w:val="auto"/>
          <w:highlight w:val="none"/>
        </w:rPr>
        <w:t>，</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将根据具体情况另行</w:t>
      </w:r>
      <w:r>
        <w:rPr>
          <w:rFonts w:hint="eastAsia"/>
          <w:color w:val="auto"/>
          <w:highlight w:val="none"/>
          <w:lang w:val="en-US" w:eastAsia="zh-CN"/>
        </w:rPr>
        <w:t>开展</w:t>
      </w:r>
      <w:r>
        <w:rPr>
          <w:rFonts w:hint="eastAsia"/>
          <w:color w:val="auto"/>
          <w:highlight w:val="none"/>
          <w:lang w:eastAsia="zh-CN"/>
        </w:rPr>
        <w:t>谈判</w:t>
      </w:r>
      <w:r>
        <w:rPr>
          <w:rFonts w:hint="eastAsia"/>
          <w:color w:val="auto"/>
          <w:highlight w:val="none"/>
        </w:rPr>
        <w:t>采购或其它采购方式采购本文件中所述产品，</w:t>
      </w:r>
      <w:r>
        <w:rPr>
          <w:rFonts w:hint="eastAsia"/>
          <w:color w:val="auto"/>
          <w:highlight w:val="none"/>
          <w:lang w:val="en-US" w:eastAsia="zh-CN"/>
        </w:rPr>
        <w:t>采购人及</w:t>
      </w:r>
      <w:r>
        <w:rPr>
          <w:rFonts w:hint="eastAsia"/>
          <w:color w:val="auto"/>
          <w:highlight w:val="none"/>
          <w:lang w:eastAsia="zh-CN"/>
        </w:rPr>
        <w:t>采购人</w:t>
      </w:r>
      <w:r>
        <w:rPr>
          <w:rFonts w:hint="eastAsia"/>
          <w:color w:val="auto"/>
          <w:highlight w:val="none"/>
        </w:rPr>
        <w:t>可不解释，谈判供应商应予以理解。</w:t>
      </w:r>
    </w:p>
    <w:p w14:paraId="0AC10CD8">
      <w:pPr>
        <w:pStyle w:val="76"/>
        <w:numPr>
          <w:ilvl w:val="0"/>
          <w:numId w:val="8"/>
        </w:numPr>
        <w:tabs>
          <w:tab w:val="left" w:pos="640"/>
        </w:tabs>
        <w:ind w:hanging="704" w:firstLineChars="0"/>
        <w:rPr>
          <w:rFonts w:ascii="黑体" w:hAnsi="黑体" w:eastAsia="黑体" w:cs="仿宋"/>
          <w:color w:val="auto"/>
          <w:sz w:val="32"/>
          <w:szCs w:val="32"/>
          <w:highlight w:val="none"/>
        </w:rPr>
      </w:pPr>
      <w:r>
        <w:rPr>
          <w:rFonts w:hint="eastAsia" w:ascii="黑体" w:hAnsi="黑体" w:eastAsia="黑体" w:cs="仿宋"/>
          <w:color w:val="auto"/>
          <w:sz w:val="32"/>
          <w:szCs w:val="32"/>
          <w:highlight w:val="none"/>
        </w:rPr>
        <w:t>定标及签订合同</w:t>
      </w:r>
    </w:p>
    <w:p w14:paraId="33280BBC">
      <w:pPr>
        <w:keepNext/>
        <w:keepLines/>
        <w:numPr>
          <w:ilvl w:val="0"/>
          <w:numId w:val="26"/>
        </w:numPr>
        <w:adjustRightInd w:val="0"/>
        <w:spacing w:before="260" w:after="260"/>
        <w:outlineLvl w:val="2"/>
        <w:rPr>
          <w:color w:val="auto"/>
          <w:sz w:val="24"/>
          <w:highlight w:val="none"/>
        </w:rPr>
      </w:pPr>
      <w:r>
        <w:rPr>
          <w:rFonts w:hint="eastAsia" w:cs="宋体"/>
          <w:b/>
          <w:bCs/>
          <w:color w:val="auto"/>
          <w:sz w:val="24"/>
          <w:highlight w:val="none"/>
        </w:rPr>
        <w:t>候选成交供应商履约能力核查</w:t>
      </w:r>
    </w:p>
    <w:p w14:paraId="5856BCFD">
      <w:pPr>
        <w:numPr>
          <w:ilvl w:val="255"/>
          <w:numId w:val="0"/>
        </w:numPr>
        <w:tabs>
          <w:tab w:val="left" w:pos="0"/>
        </w:tabs>
        <w:adjustRightInd w:val="0"/>
        <w:spacing w:line="360" w:lineRule="auto"/>
        <w:rPr>
          <w:b/>
          <w:bCs/>
          <w:color w:val="auto"/>
          <w:sz w:val="24"/>
          <w:highlight w:val="none"/>
        </w:rPr>
      </w:pPr>
      <w:r>
        <w:rPr>
          <w:rFonts w:hint="eastAsia"/>
          <w:color w:val="auto"/>
          <w:highlight w:val="none"/>
        </w:rPr>
        <w:t xml:space="preserve">    </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可对候选成交供应商的相关证明材料原件进行核验或组织现场考察，以确认候选成交供应商的生产经营、财务等实际状况与响应文件是否一致以及是否存在其他可能影响供应商履约能力的情况。核查结果将作为</w:t>
      </w: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选择确定成交供应商的依据之一。</w:t>
      </w:r>
    </w:p>
    <w:p w14:paraId="2B435C6E">
      <w:pPr>
        <w:keepNext/>
        <w:keepLines/>
        <w:numPr>
          <w:ilvl w:val="0"/>
          <w:numId w:val="26"/>
        </w:numPr>
        <w:adjustRightInd w:val="0"/>
        <w:spacing w:before="260" w:after="260"/>
        <w:outlineLvl w:val="2"/>
        <w:rPr>
          <w:color w:val="auto"/>
          <w:sz w:val="24"/>
          <w:highlight w:val="none"/>
        </w:rPr>
      </w:pPr>
      <w:r>
        <w:rPr>
          <w:rFonts w:hint="eastAsia" w:cs="宋体"/>
          <w:b/>
          <w:bCs/>
          <w:color w:val="auto"/>
          <w:sz w:val="24"/>
          <w:highlight w:val="none"/>
        </w:rPr>
        <w:t xml:space="preserve">定标准则 </w:t>
      </w:r>
    </w:p>
    <w:p w14:paraId="2075DA6A">
      <w:pPr>
        <w:pStyle w:val="119"/>
        <w:numPr>
          <w:ilvl w:val="0"/>
          <w:numId w:val="27"/>
        </w:numPr>
        <w:tabs>
          <w:tab w:val="left" w:pos="0"/>
        </w:tabs>
        <w:adjustRightInd w:val="0"/>
        <w:spacing w:line="360" w:lineRule="auto"/>
        <w:ind w:firstLineChars="0"/>
        <w:rPr>
          <w:vanish/>
          <w:color w:val="auto"/>
          <w:highlight w:val="none"/>
        </w:rPr>
      </w:pPr>
    </w:p>
    <w:p w14:paraId="41D85869">
      <w:pPr>
        <w:pStyle w:val="119"/>
        <w:numPr>
          <w:ilvl w:val="0"/>
          <w:numId w:val="27"/>
        </w:numPr>
        <w:tabs>
          <w:tab w:val="left" w:pos="0"/>
        </w:tabs>
        <w:adjustRightInd w:val="0"/>
        <w:spacing w:line="360" w:lineRule="auto"/>
        <w:ind w:firstLineChars="0"/>
        <w:rPr>
          <w:vanish/>
          <w:color w:val="auto"/>
          <w:highlight w:val="none"/>
        </w:rPr>
      </w:pPr>
    </w:p>
    <w:p w14:paraId="2471B304">
      <w:pPr>
        <w:numPr>
          <w:ilvl w:val="1"/>
          <w:numId w:val="27"/>
        </w:numPr>
        <w:tabs>
          <w:tab w:val="left" w:pos="0"/>
        </w:tabs>
        <w:adjustRightInd w:val="0"/>
        <w:spacing w:line="360" w:lineRule="auto"/>
        <w:ind w:left="0" w:firstLine="426"/>
        <w:rPr>
          <w:color w:val="auto"/>
          <w:highlight w:val="none"/>
        </w:rPr>
      </w:pPr>
      <w:r>
        <w:rPr>
          <w:rFonts w:hint="eastAsia"/>
          <w:color w:val="auto"/>
          <w:highlight w:val="none"/>
        </w:rPr>
        <w:t>谈判小组推荐出候选成交供应商，</w:t>
      </w:r>
      <w:r>
        <w:rPr>
          <w:rFonts w:hint="eastAsia"/>
          <w:color w:val="auto"/>
          <w:highlight w:val="none"/>
          <w:lang w:eastAsia="zh-CN"/>
        </w:rPr>
        <w:t>采购人</w:t>
      </w:r>
      <w:r>
        <w:rPr>
          <w:rFonts w:hint="eastAsia"/>
          <w:color w:val="auto"/>
          <w:highlight w:val="none"/>
        </w:rPr>
        <w:t>从谈判小组提出的成交候选供应商中根据符合采购需求、质量和报价综合评定的原则</w:t>
      </w:r>
      <w:r>
        <w:rPr>
          <w:rFonts w:hint="eastAsia"/>
          <w:color w:val="auto"/>
          <w:highlight w:val="none"/>
          <w:lang w:eastAsia="zh-CN"/>
        </w:rPr>
        <w:t>，</w:t>
      </w:r>
      <w:r>
        <w:rPr>
          <w:rFonts w:hint="eastAsia"/>
          <w:color w:val="auto"/>
          <w:highlight w:val="none"/>
        </w:rPr>
        <w:t>经</w:t>
      </w:r>
      <w:r>
        <w:rPr>
          <w:rFonts w:hint="eastAsia"/>
          <w:color w:val="auto"/>
          <w:highlight w:val="none"/>
          <w:lang w:val="en-US" w:eastAsia="zh-CN"/>
        </w:rPr>
        <w:t>采购</w:t>
      </w:r>
      <w:r>
        <w:rPr>
          <w:rFonts w:hint="eastAsia"/>
          <w:color w:val="auto"/>
          <w:highlight w:val="none"/>
        </w:rPr>
        <w:t>人确认后，确定最终成交供应商。</w:t>
      </w:r>
    </w:p>
    <w:p w14:paraId="40873D2B">
      <w:pPr>
        <w:numPr>
          <w:ilvl w:val="1"/>
          <w:numId w:val="27"/>
        </w:numPr>
        <w:tabs>
          <w:tab w:val="left" w:pos="0"/>
        </w:tabs>
        <w:adjustRightInd w:val="0"/>
        <w:spacing w:line="360" w:lineRule="auto"/>
        <w:ind w:left="0" w:firstLine="425"/>
        <w:rPr>
          <w:color w:val="auto"/>
          <w:highlight w:val="none"/>
        </w:rPr>
      </w:pP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根据谈判小组的建议有权在确定成交供应商之前任何时候拒绝任何报价，以及宣布本次采购无效，对受影响的谈判供应商不承担任何责任，也无义务向受影响的谈判供应商解释采取这一行动的理由。</w:t>
      </w:r>
    </w:p>
    <w:p w14:paraId="2E5E85B7">
      <w:pPr>
        <w:numPr>
          <w:ilvl w:val="1"/>
          <w:numId w:val="27"/>
        </w:numPr>
        <w:tabs>
          <w:tab w:val="left" w:pos="0"/>
        </w:tabs>
        <w:adjustRightInd w:val="0"/>
        <w:spacing w:line="360" w:lineRule="auto"/>
        <w:rPr>
          <w:color w:val="auto"/>
          <w:highlight w:val="none"/>
        </w:rPr>
      </w:pPr>
      <w:r>
        <w:rPr>
          <w:rFonts w:hint="eastAsia"/>
          <w:color w:val="auto"/>
          <w:highlight w:val="none"/>
          <w:lang w:eastAsia="zh-CN"/>
        </w:rPr>
        <w:t>采购</w:t>
      </w:r>
      <w:r>
        <w:rPr>
          <w:rFonts w:hint="eastAsia"/>
          <w:color w:val="auto"/>
          <w:highlight w:val="none"/>
          <w:lang w:val="en-US" w:eastAsia="zh-CN"/>
        </w:rPr>
        <w:t>人</w:t>
      </w:r>
      <w:r>
        <w:rPr>
          <w:rFonts w:hint="eastAsia"/>
          <w:color w:val="auto"/>
          <w:highlight w:val="none"/>
        </w:rPr>
        <w:t>不能保证最低价的报价可以成交。</w:t>
      </w:r>
    </w:p>
    <w:p w14:paraId="6DF39DE3">
      <w:pPr>
        <w:keepNext/>
        <w:keepLines/>
        <w:numPr>
          <w:ilvl w:val="0"/>
          <w:numId w:val="26"/>
        </w:numPr>
        <w:adjustRightInd w:val="0"/>
        <w:spacing w:before="260" w:after="260"/>
        <w:outlineLvl w:val="2"/>
        <w:rPr>
          <w:color w:val="auto"/>
          <w:sz w:val="24"/>
          <w:highlight w:val="none"/>
        </w:rPr>
      </w:pPr>
      <w:r>
        <w:rPr>
          <w:rFonts w:hint="eastAsia" w:cs="宋体"/>
          <w:b/>
          <w:bCs/>
          <w:color w:val="auto"/>
          <w:sz w:val="24"/>
          <w:highlight w:val="none"/>
        </w:rPr>
        <w:t>成交通知</w:t>
      </w:r>
    </w:p>
    <w:p w14:paraId="1E3ED9EF">
      <w:pPr>
        <w:spacing w:line="360" w:lineRule="auto"/>
        <w:ind w:firstLine="420"/>
        <w:rPr>
          <w:color w:val="auto"/>
          <w:highlight w:val="none"/>
        </w:rPr>
      </w:pPr>
      <w:r>
        <w:rPr>
          <w:rFonts w:hint="eastAsia"/>
          <w:color w:val="auto"/>
          <w:highlight w:val="none"/>
        </w:rPr>
        <w:t>经</w:t>
      </w:r>
      <w:r>
        <w:rPr>
          <w:rFonts w:hint="eastAsia"/>
          <w:color w:val="auto"/>
          <w:highlight w:val="none"/>
          <w:lang w:val="en-US" w:eastAsia="zh-CN"/>
        </w:rPr>
        <w:t>采购</w:t>
      </w:r>
      <w:r>
        <w:rPr>
          <w:rFonts w:hint="eastAsia"/>
          <w:color w:val="auto"/>
          <w:highlight w:val="none"/>
        </w:rPr>
        <w:t>人确认后，</w:t>
      </w:r>
      <w:r>
        <w:rPr>
          <w:rFonts w:hint="eastAsia"/>
          <w:color w:val="auto"/>
          <w:highlight w:val="none"/>
          <w:lang w:eastAsia="zh-CN"/>
        </w:rPr>
        <w:t>采购人</w:t>
      </w:r>
      <w:r>
        <w:rPr>
          <w:rFonts w:hint="eastAsia"/>
          <w:color w:val="auto"/>
          <w:highlight w:val="none"/>
        </w:rPr>
        <w:t>将根据评审报告，确定成交供应商并向成交供应商发出《</w:t>
      </w:r>
      <w:r>
        <w:rPr>
          <w:rFonts w:hint="eastAsia"/>
          <w:color w:val="auto"/>
          <w:highlight w:val="none"/>
          <w:lang w:val="en-US" w:eastAsia="zh-CN"/>
        </w:rPr>
        <w:t>中标</w:t>
      </w:r>
      <w:r>
        <w:rPr>
          <w:rFonts w:hint="eastAsia"/>
          <w:color w:val="auto"/>
          <w:highlight w:val="none"/>
        </w:rPr>
        <w:t>通知书》</w:t>
      </w:r>
      <w:r>
        <w:rPr>
          <w:rFonts w:hint="eastAsia"/>
          <w:color w:val="auto"/>
          <w:highlight w:val="none"/>
          <w:lang w:val="en-US" w:eastAsia="zh-CN"/>
        </w:rPr>
        <w:t xml:space="preserve"> </w:t>
      </w:r>
      <w:r>
        <w:rPr>
          <w:rFonts w:hint="eastAsia"/>
          <w:color w:val="auto"/>
          <w:highlight w:val="none"/>
        </w:rPr>
        <w:t>。《</w:t>
      </w:r>
      <w:r>
        <w:rPr>
          <w:rFonts w:hint="eastAsia"/>
          <w:color w:val="auto"/>
          <w:highlight w:val="none"/>
          <w:lang w:val="en-US" w:eastAsia="zh-CN"/>
        </w:rPr>
        <w:t>中标</w:t>
      </w:r>
      <w:r>
        <w:rPr>
          <w:rFonts w:hint="eastAsia"/>
          <w:color w:val="auto"/>
          <w:highlight w:val="none"/>
        </w:rPr>
        <w:t>通知书》发出</w:t>
      </w:r>
      <w:r>
        <w:rPr>
          <w:rFonts w:hint="eastAsia"/>
          <w:color w:val="auto"/>
          <w:highlight w:val="none"/>
          <w:lang w:val="en-US" w:eastAsia="zh-CN"/>
        </w:rPr>
        <w:t>或采购平台中标公示期结束</w:t>
      </w:r>
      <w:r>
        <w:rPr>
          <w:rFonts w:hint="eastAsia"/>
          <w:color w:val="auto"/>
          <w:highlight w:val="none"/>
        </w:rPr>
        <w:t>后，成交供应商放弃中标</w:t>
      </w:r>
      <w:r>
        <w:rPr>
          <w:rFonts w:hint="eastAsia"/>
          <w:color w:val="auto"/>
          <w:highlight w:val="none"/>
          <w:lang w:val="en-US" w:eastAsia="zh-CN"/>
        </w:rPr>
        <w:t>/成交</w:t>
      </w:r>
      <w:r>
        <w:rPr>
          <w:rFonts w:hint="eastAsia"/>
          <w:color w:val="auto"/>
          <w:highlight w:val="none"/>
        </w:rPr>
        <w:t>的，应当依法承担法律责任。对未成交者，</w:t>
      </w:r>
      <w:r>
        <w:rPr>
          <w:rFonts w:hint="eastAsia"/>
          <w:color w:val="auto"/>
          <w:highlight w:val="none"/>
          <w:lang w:eastAsia="zh-CN"/>
        </w:rPr>
        <w:t>采购人</w:t>
      </w:r>
      <w:r>
        <w:rPr>
          <w:rFonts w:hint="eastAsia"/>
          <w:color w:val="auto"/>
          <w:highlight w:val="none"/>
        </w:rPr>
        <w:t>不对未成交原因做出解释。</w:t>
      </w:r>
    </w:p>
    <w:p w14:paraId="54328C59">
      <w:pPr>
        <w:keepNext/>
        <w:keepLines/>
        <w:numPr>
          <w:ilvl w:val="0"/>
          <w:numId w:val="26"/>
        </w:numPr>
        <w:spacing w:before="260" w:after="260"/>
        <w:outlineLvl w:val="2"/>
        <w:rPr>
          <w:color w:val="auto"/>
          <w:highlight w:val="none"/>
        </w:rPr>
      </w:pPr>
      <w:r>
        <w:rPr>
          <w:rFonts w:hint="eastAsia" w:cs="宋体"/>
          <w:b/>
          <w:bCs/>
          <w:color w:val="auto"/>
          <w:sz w:val="24"/>
          <w:highlight w:val="none"/>
        </w:rPr>
        <w:t>签订合同</w:t>
      </w:r>
    </w:p>
    <w:p w14:paraId="0BBD8D5A">
      <w:pPr>
        <w:numPr>
          <w:ilvl w:val="-1"/>
          <w:numId w:val="0"/>
        </w:numPr>
        <w:tabs>
          <w:tab w:val="left" w:pos="0"/>
        </w:tabs>
        <w:adjustRightInd w:val="0"/>
        <w:spacing w:line="360" w:lineRule="auto"/>
        <w:ind w:left="0" w:firstLine="420" w:firstLineChars="200"/>
        <w:rPr>
          <w:rFonts w:hint="eastAsia"/>
          <w:color w:val="auto"/>
          <w:highlight w:val="none"/>
          <w:lang w:val="en-US" w:eastAsia="zh-CN"/>
        </w:rPr>
      </w:pPr>
      <w:r>
        <w:rPr>
          <w:rFonts w:hint="eastAsia"/>
          <w:color w:val="auto"/>
          <w:highlight w:val="none"/>
          <w:lang w:val="en-US" w:eastAsia="zh-CN"/>
        </w:rPr>
        <w:t>4.1 采购人在签订合同时有权对第一部分项目概述要求标的数量和服务予以增加或减少。</w:t>
      </w:r>
    </w:p>
    <w:p w14:paraId="6F148FFF">
      <w:pPr>
        <w:numPr>
          <w:ilvl w:val="-1"/>
          <w:numId w:val="0"/>
        </w:numPr>
        <w:tabs>
          <w:tab w:val="left" w:pos="0"/>
        </w:tabs>
        <w:adjustRightInd w:val="0"/>
        <w:spacing w:line="360" w:lineRule="auto"/>
        <w:ind w:left="0" w:firstLine="420" w:firstLineChars="200"/>
        <w:rPr>
          <w:rFonts w:hint="eastAsia"/>
          <w:color w:val="auto"/>
          <w:highlight w:val="none"/>
          <w:lang w:val="en-US" w:eastAsia="zh-CN"/>
        </w:rPr>
      </w:pPr>
      <w:r>
        <w:rPr>
          <w:rFonts w:hint="eastAsia"/>
          <w:color w:val="auto"/>
          <w:highlight w:val="none"/>
          <w:lang w:val="en-US" w:eastAsia="zh-CN"/>
        </w:rPr>
        <w:t>4.2 如出现响应文件中响应承诺与实际响应内容前后不一致的，采购人有权选择其中任一响应内容签订合同。</w:t>
      </w:r>
    </w:p>
    <w:p w14:paraId="1D2A0EE0">
      <w:pPr>
        <w:numPr>
          <w:ilvl w:val="-1"/>
          <w:numId w:val="0"/>
        </w:numPr>
        <w:tabs>
          <w:tab w:val="left" w:pos="0"/>
        </w:tabs>
        <w:adjustRightInd w:val="0"/>
        <w:spacing w:line="360" w:lineRule="auto"/>
        <w:ind w:left="0" w:firstLine="420" w:firstLineChars="200"/>
        <w:rPr>
          <w:color w:val="auto"/>
          <w:highlight w:val="none"/>
        </w:rPr>
      </w:pPr>
      <w:r>
        <w:rPr>
          <w:rFonts w:hint="eastAsia"/>
          <w:color w:val="auto"/>
          <w:highlight w:val="none"/>
          <w:lang w:val="en-US" w:eastAsia="zh-CN"/>
        </w:rPr>
        <w:t xml:space="preserve">4.3 </w:t>
      </w:r>
      <w:r>
        <w:rPr>
          <w:rFonts w:hint="eastAsia"/>
          <w:color w:val="auto"/>
          <w:highlight w:val="none"/>
        </w:rPr>
        <w:t>谈判供应商在接到</w:t>
      </w:r>
      <w:r>
        <w:rPr>
          <w:rFonts w:hint="eastAsia"/>
          <w:color w:val="auto"/>
          <w:highlight w:val="none"/>
          <w:lang w:val="en-US" w:eastAsia="zh-CN"/>
        </w:rPr>
        <w:t>中标/成交</w:t>
      </w:r>
      <w:r>
        <w:rPr>
          <w:rFonts w:hint="eastAsia"/>
          <w:color w:val="auto"/>
          <w:highlight w:val="none"/>
        </w:rPr>
        <w:t>通知后，应当在成交通知书规定的期限内，根据</w:t>
      </w:r>
      <w:r>
        <w:rPr>
          <w:rFonts w:hint="eastAsia"/>
          <w:color w:val="auto"/>
          <w:highlight w:val="none"/>
          <w:lang w:eastAsia="zh-CN"/>
        </w:rPr>
        <w:t>谈判文件</w:t>
      </w:r>
      <w:r>
        <w:rPr>
          <w:rFonts w:hint="eastAsia"/>
          <w:color w:val="auto"/>
          <w:highlight w:val="none"/>
        </w:rPr>
        <w:t>和成交供应商的响应文件订立书面合同，谈判文件及响应文件及有效的补充资料、通知、函件、纪要等将成为合同的基础组成部分。</w:t>
      </w:r>
    </w:p>
    <w:p w14:paraId="423EF5B4">
      <w:pPr>
        <w:numPr>
          <w:ilvl w:val="-1"/>
          <w:numId w:val="0"/>
        </w:numPr>
        <w:tabs>
          <w:tab w:val="left" w:pos="0"/>
        </w:tabs>
        <w:adjustRightInd w:val="0"/>
        <w:spacing w:line="360" w:lineRule="auto"/>
        <w:ind w:left="5" w:firstLine="420" w:firstLineChars="200"/>
        <w:rPr>
          <w:color w:val="auto"/>
          <w:highlight w:val="none"/>
        </w:rPr>
      </w:pPr>
      <w:r>
        <w:rPr>
          <w:rFonts w:hint="eastAsia"/>
          <w:color w:val="auto"/>
          <w:highlight w:val="none"/>
          <w:lang w:val="en-US" w:eastAsia="zh-CN"/>
        </w:rPr>
        <w:t xml:space="preserve">4.4 </w:t>
      </w:r>
      <w:r>
        <w:rPr>
          <w:rFonts w:hint="eastAsia"/>
          <w:color w:val="auto"/>
          <w:highlight w:val="none"/>
        </w:rPr>
        <w:t>成交供应商未按规定要求签订合同，</w:t>
      </w:r>
      <w:r>
        <w:rPr>
          <w:rFonts w:hint="eastAsia"/>
          <w:color w:val="auto"/>
          <w:highlight w:val="none"/>
          <w:lang w:val="en-US" w:eastAsia="zh-CN"/>
        </w:rPr>
        <w:t>采购人</w:t>
      </w:r>
      <w:r>
        <w:rPr>
          <w:rFonts w:hint="eastAsia"/>
          <w:color w:val="auto"/>
          <w:highlight w:val="none"/>
        </w:rPr>
        <w:t>有权撤销成交通知，</w:t>
      </w:r>
      <w:r>
        <w:rPr>
          <w:rFonts w:hint="eastAsia"/>
          <w:color w:val="auto"/>
          <w:highlight w:val="none"/>
          <w:lang w:val="en-US" w:eastAsia="zh-CN"/>
        </w:rPr>
        <w:t>采购人</w:t>
      </w:r>
      <w:r>
        <w:rPr>
          <w:rFonts w:hint="eastAsia"/>
          <w:color w:val="auto"/>
          <w:highlight w:val="none"/>
        </w:rPr>
        <w:t>可从成交候选人中重新选定成交供应商。</w:t>
      </w:r>
    </w:p>
    <w:p w14:paraId="1F0DFA7D">
      <w:pPr>
        <w:keepNext/>
        <w:keepLines/>
        <w:numPr>
          <w:ilvl w:val="0"/>
          <w:numId w:val="26"/>
        </w:numPr>
        <w:adjustRightInd w:val="0"/>
        <w:spacing w:before="260" w:after="260"/>
        <w:outlineLvl w:val="2"/>
        <w:rPr>
          <w:color w:val="auto"/>
          <w:sz w:val="24"/>
          <w:highlight w:val="none"/>
        </w:rPr>
      </w:pPr>
      <w:r>
        <w:rPr>
          <w:rFonts w:hint="eastAsia" w:cs="宋体"/>
          <w:b/>
          <w:bCs/>
          <w:color w:val="auto"/>
          <w:sz w:val="24"/>
          <w:highlight w:val="none"/>
        </w:rPr>
        <w:t>保密条款</w:t>
      </w:r>
    </w:p>
    <w:p w14:paraId="2B652664">
      <w:pPr>
        <w:pStyle w:val="118"/>
        <w:numPr>
          <w:ilvl w:val="0"/>
          <w:numId w:val="28"/>
        </w:numPr>
        <w:tabs>
          <w:tab w:val="left" w:pos="0"/>
        </w:tabs>
        <w:adjustRightInd w:val="0"/>
        <w:spacing w:line="360" w:lineRule="auto"/>
        <w:ind w:firstLineChars="0"/>
        <w:rPr>
          <w:rFonts w:ascii="宋体" w:hAnsi="宋体"/>
          <w:vanish/>
          <w:color w:val="auto"/>
          <w:szCs w:val="21"/>
          <w:highlight w:val="none"/>
        </w:rPr>
      </w:pPr>
    </w:p>
    <w:p w14:paraId="2CBA6DEF">
      <w:pPr>
        <w:pStyle w:val="118"/>
        <w:numPr>
          <w:ilvl w:val="0"/>
          <w:numId w:val="28"/>
        </w:numPr>
        <w:tabs>
          <w:tab w:val="left" w:pos="0"/>
        </w:tabs>
        <w:adjustRightInd w:val="0"/>
        <w:spacing w:line="360" w:lineRule="auto"/>
        <w:ind w:firstLineChars="0"/>
        <w:rPr>
          <w:rFonts w:ascii="宋体" w:hAnsi="宋体"/>
          <w:vanish/>
          <w:color w:val="auto"/>
          <w:szCs w:val="21"/>
          <w:highlight w:val="none"/>
        </w:rPr>
      </w:pPr>
    </w:p>
    <w:p w14:paraId="2B680900">
      <w:pPr>
        <w:pStyle w:val="118"/>
        <w:numPr>
          <w:ilvl w:val="0"/>
          <w:numId w:val="28"/>
        </w:numPr>
        <w:tabs>
          <w:tab w:val="left" w:pos="0"/>
        </w:tabs>
        <w:adjustRightInd w:val="0"/>
        <w:spacing w:line="360" w:lineRule="auto"/>
        <w:ind w:firstLineChars="0"/>
        <w:rPr>
          <w:rFonts w:ascii="宋体" w:hAnsi="宋体"/>
          <w:vanish/>
          <w:color w:val="auto"/>
          <w:szCs w:val="21"/>
          <w:highlight w:val="none"/>
        </w:rPr>
      </w:pPr>
    </w:p>
    <w:p w14:paraId="29E1CFE6">
      <w:pPr>
        <w:pStyle w:val="118"/>
        <w:numPr>
          <w:ilvl w:val="0"/>
          <w:numId w:val="28"/>
        </w:numPr>
        <w:tabs>
          <w:tab w:val="left" w:pos="0"/>
        </w:tabs>
        <w:adjustRightInd w:val="0"/>
        <w:spacing w:line="360" w:lineRule="auto"/>
        <w:ind w:firstLineChars="0"/>
        <w:rPr>
          <w:rFonts w:ascii="宋体" w:hAnsi="宋体"/>
          <w:vanish/>
          <w:color w:val="auto"/>
          <w:szCs w:val="21"/>
          <w:highlight w:val="none"/>
        </w:rPr>
      </w:pPr>
    </w:p>
    <w:p w14:paraId="2BE12C1B">
      <w:pPr>
        <w:pStyle w:val="119"/>
        <w:numPr>
          <w:ilvl w:val="0"/>
          <w:numId w:val="29"/>
        </w:numPr>
        <w:tabs>
          <w:tab w:val="left" w:pos="0"/>
        </w:tabs>
        <w:adjustRightInd w:val="0"/>
        <w:spacing w:line="360" w:lineRule="auto"/>
        <w:ind w:firstLineChars="0"/>
        <w:rPr>
          <w:vanish/>
          <w:color w:val="auto"/>
          <w:highlight w:val="none"/>
        </w:rPr>
      </w:pPr>
    </w:p>
    <w:p w14:paraId="37838AF7">
      <w:pPr>
        <w:pStyle w:val="119"/>
        <w:numPr>
          <w:ilvl w:val="0"/>
          <w:numId w:val="29"/>
        </w:numPr>
        <w:tabs>
          <w:tab w:val="left" w:pos="0"/>
        </w:tabs>
        <w:adjustRightInd w:val="0"/>
        <w:spacing w:line="360" w:lineRule="auto"/>
        <w:ind w:firstLineChars="0"/>
        <w:rPr>
          <w:vanish/>
          <w:color w:val="auto"/>
          <w:highlight w:val="none"/>
        </w:rPr>
      </w:pPr>
    </w:p>
    <w:p w14:paraId="48922D99">
      <w:pPr>
        <w:numPr>
          <w:ilvl w:val="1"/>
          <w:numId w:val="29"/>
        </w:numPr>
        <w:tabs>
          <w:tab w:val="left" w:pos="0"/>
        </w:tabs>
        <w:adjustRightInd w:val="0"/>
        <w:spacing w:line="360" w:lineRule="auto"/>
        <w:ind w:left="0" w:firstLine="426"/>
        <w:rPr>
          <w:color w:val="auto"/>
          <w:highlight w:val="none"/>
        </w:rPr>
      </w:pPr>
      <w:r>
        <w:rPr>
          <w:rFonts w:hint="eastAsia"/>
          <w:color w:val="auto"/>
          <w:highlight w:val="none"/>
        </w:rPr>
        <w:t>在报价谈判全过程中，谈判供应商对</w:t>
      </w:r>
      <w:r>
        <w:rPr>
          <w:rFonts w:hint="eastAsia"/>
          <w:color w:val="auto"/>
          <w:highlight w:val="none"/>
          <w:lang w:eastAsia="zh-CN"/>
        </w:rPr>
        <w:t>谈判文件</w:t>
      </w:r>
      <w:r>
        <w:rPr>
          <w:rFonts w:hint="eastAsia"/>
          <w:color w:val="auto"/>
          <w:highlight w:val="none"/>
        </w:rPr>
        <w:t>的所有内容有保密义务，不得将</w:t>
      </w:r>
      <w:r>
        <w:rPr>
          <w:rFonts w:hint="eastAsia"/>
          <w:color w:val="auto"/>
          <w:highlight w:val="none"/>
          <w:lang w:eastAsia="zh-CN"/>
        </w:rPr>
        <w:t>谈判文件</w:t>
      </w:r>
      <w:r>
        <w:rPr>
          <w:rFonts w:hint="eastAsia"/>
          <w:color w:val="auto"/>
          <w:highlight w:val="none"/>
        </w:rPr>
        <w:t>之内容向他人泄露，一旦发现，</w:t>
      </w:r>
      <w:r>
        <w:rPr>
          <w:rFonts w:hint="eastAsia"/>
          <w:color w:val="auto"/>
          <w:highlight w:val="none"/>
          <w:lang w:eastAsia="zh-CN"/>
        </w:rPr>
        <w:t>采购人</w:t>
      </w:r>
      <w:r>
        <w:rPr>
          <w:rFonts w:hint="eastAsia"/>
          <w:color w:val="auto"/>
          <w:highlight w:val="none"/>
        </w:rPr>
        <w:t>有权取消其报价资格或视其响应文件为无效文件。</w:t>
      </w:r>
    </w:p>
    <w:p w14:paraId="2D0E143B">
      <w:pPr>
        <w:numPr>
          <w:ilvl w:val="1"/>
          <w:numId w:val="29"/>
        </w:numPr>
        <w:tabs>
          <w:tab w:val="left" w:pos="0"/>
        </w:tabs>
        <w:adjustRightInd w:val="0"/>
        <w:spacing w:line="360" w:lineRule="auto"/>
        <w:ind w:left="0" w:firstLine="425"/>
        <w:rPr>
          <w:color w:val="auto"/>
          <w:highlight w:val="none"/>
        </w:rPr>
      </w:pPr>
      <w:r>
        <w:rPr>
          <w:rFonts w:hint="eastAsia"/>
          <w:color w:val="auto"/>
          <w:highlight w:val="none"/>
        </w:rPr>
        <w:t>谈判结果公布后，谈判供应商无论成交与否，都不得泄露本次采购谈判及评审的相关文件。</w:t>
      </w:r>
    </w:p>
    <w:p w14:paraId="731624A6">
      <w:pPr>
        <w:numPr>
          <w:ilvl w:val="1"/>
          <w:numId w:val="29"/>
        </w:numPr>
        <w:tabs>
          <w:tab w:val="left" w:pos="0"/>
        </w:tabs>
        <w:adjustRightInd w:val="0"/>
        <w:spacing w:line="360" w:lineRule="auto"/>
        <w:ind w:left="0" w:firstLine="425"/>
        <w:rPr>
          <w:color w:val="auto"/>
          <w:highlight w:val="none"/>
        </w:rPr>
      </w:pPr>
      <w:r>
        <w:rPr>
          <w:rFonts w:hint="eastAsia"/>
          <w:color w:val="auto"/>
          <w:highlight w:val="none"/>
        </w:rPr>
        <w:t>若因谈判供应商没有遵循保密要求而引起</w:t>
      </w:r>
      <w:r>
        <w:rPr>
          <w:rFonts w:hint="eastAsia"/>
          <w:color w:val="auto"/>
          <w:highlight w:val="none"/>
          <w:lang w:val="en-US" w:eastAsia="zh-CN"/>
        </w:rPr>
        <w:t>采购人</w:t>
      </w:r>
      <w:r>
        <w:rPr>
          <w:rFonts w:hint="eastAsia"/>
          <w:color w:val="auto"/>
          <w:highlight w:val="none"/>
        </w:rPr>
        <w:t>损失的，</w:t>
      </w:r>
      <w:r>
        <w:rPr>
          <w:rFonts w:hint="eastAsia"/>
          <w:color w:val="auto"/>
          <w:highlight w:val="none"/>
          <w:lang w:val="en-US" w:eastAsia="zh-CN"/>
        </w:rPr>
        <w:t>采购人</w:t>
      </w:r>
      <w:r>
        <w:rPr>
          <w:rFonts w:hint="eastAsia"/>
          <w:color w:val="auto"/>
          <w:highlight w:val="none"/>
        </w:rPr>
        <w:t>有权向谈判供应商要求索赔。</w:t>
      </w:r>
    </w:p>
    <w:p w14:paraId="5A9C62BE">
      <w:pPr>
        <w:keepNext/>
        <w:keepLines/>
        <w:numPr>
          <w:ilvl w:val="0"/>
          <w:numId w:val="26"/>
        </w:numPr>
        <w:adjustRightInd w:val="0"/>
        <w:spacing w:before="260" w:after="260"/>
        <w:outlineLvl w:val="2"/>
        <w:rPr>
          <w:rFonts w:cs="宋体"/>
          <w:b/>
          <w:bCs/>
          <w:color w:val="auto"/>
          <w:sz w:val="24"/>
          <w:highlight w:val="none"/>
        </w:rPr>
      </w:pPr>
      <w:r>
        <w:rPr>
          <w:rFonts w:hint="eastAsia" w:cs="宋体"/>
          <w:b/>
          <w:bCs/>
          <w:color w:val="auto"/>
          <w:sz w:val="24"/>
          <w:highlight w:val="none"/>
        </w:rPr>
        <w:t>纪律要求</w:t>
      </w:r>
    </w:p>
    <w:p w14:paraId="432FB65B">
      <w:pPr>
        <w:pStyle w:val="119"/>
        <w:numPr>
          <w:ilvl w:val="0"/>
          <w:numId w:val="29"/>
        </w:numPr>
        <w:tabs>
          <w:tab w:val="left" w:pos="0"/>
        </w:tabs>
        <w:adjustRightInd w:val="0"/>
        <w:spacing w:line="360" w:lineRule="auto"/>
        <w:ind w:firstLineChars="0"/>
        <w:rPr>
          <w:vanish/>
          <w:color w:val="auto"/>
          <w:highlight w:val="none"/>
        </w:rPr>
      </w:pPr>
    </w:p>
    <w:p w14:paraId="74464A8B">
      <w:pPr>
        <w:numPr>
          <w:ilvl w:val="1"/>
          <w:numId w:val="29"/>
        </w:numPr>
        <w:tabs>
          <w:tab w:val="left" w:pos="0"/>
        </w:tabs>
        <w:adjustRightInd w:val="0"/>
        <w:spacing w:line="360" w:lineRule="auto"/>
        <w:ind w:left="0" w:firstLine="426"/>
        <w:rPr>
          <w:color w:val="auto"/>
          <w:highlight w:val="none"/>
        </w:rPr>
      </w:pPr>
      <w:r>
        <w:rPr>
          <w:rFonts w:hint="eastAsia"/>
          <w:color w:val="auto"/>
          <w:highlight w:val="none"/>
        </w:rPr>
        <w:t>对</w:t>
      </w:r>
      <w:r>
        <w:rPr>
          <w:rFonts w:hint="eastAsia"/>
          <w:color w:val="auto"/>
          <w:highlight w:val="none"/>
          <w:lang w:eastAsia="zh-CN"/>
        </w:rPr>
        <w:t>采购人</w:t>
      </w:r>
      <w:r>
        <w:rPr>
          <w:rFonts w:hint="eastAsia"/>
          <w:color w:val="auto"/>
          <w:highlight w:val="none"/>
        </w:rPr>
        <w:t>的纪律要求：</w:t>
      </w:r>
      <w:r>
        <w:rPr>
          <w:rFonts w:hint="eastAsia"/>
          <w:color w:val="auto"/>
          <w:highlight w:val="none"/>
          <w:lang w:eastAsia="zh-CN"/>
        </w:rPr>
        <w:t>采购人</w:t>
      </w:r>
      <w:r>
        <w:rPr>
          <w:rFonts w:hint="eastAsia"/>
          <w:color w:val="auto"/>
          <w:highlight w:val="none"/>
        </w:rPr>
        <w:t>不得泄露谈判采购活动中应当保密的情况和资料，不得与供应商串通损害国家利益、社会公共利益或者他人的合法权益。</w:t>
      </w:r>
    </w:p>
    <w:p w14:paraId="5374761E">
      <w:pPr>
        <w:numPr>
          <w:ilvl w:val="1"/>
          <w:numId w:val="29"/>
        </w:numPr>
        <w:tabs>
          <w:tab w:val="left" w:pos="0"/>
        </w:tabs>
        <w:adjustRightInd w:val="0"/>
        <w:spacing w:line="360" w:lineRule="auto"/>
        <w:ind w:left="0" w:firstLine="425"/>
        <w:rPr>
          <w:color w:val="auto"/>
          <w:highlight w:val="none"/>
        </w:rPr>
      </w:pPr>
      <w:r>
        <w:rPr>
          <w:rFonts w:hint="eastAsia"/>
          <w:color w:val="auto"/>
          <w:highlight w:val="none"/>
        </w:rPr>
        <w:t>对供应商的纪律要求：供应商不得提供虚假材料获取</w:t>
      </w:r>
      <w:r>
        <w:rPr>
          <w:rFonts w:hint="eastAsia"/>
          <w:color w:val="auto"/>
          <w:highlight w:val="none"/>
          <w:lang w:val="en-US" w:eastAsia="zh-CN"/>
        </w:rPr>
        <w:t>参与</w:t>
      </w:r>
      <w:r>
        <w:rPr>
          <w:rFonts w:hint="eastAsia"/>
          <w:color w:val="auto"/>
          <w:highlight w:val="none"/>
        </w:rPr>
        <w:t>资格，不得相互串通投标报价，不得采取不正当手段诋毁、排挤其他供应商，损害</w:t>
      </w:r>
      <w:r>
        <w:rPr>
          <w:rFonts w:hint="eastAsia"/>
          <w:color w:val="auto"/>
          <w:highlight w:val="none"/>
          <w:lang w:val="en-US" w:eastAsia="zh-CN"/>
        </w:rPr>
        <w:t>采购人、</w:t>
      </w:r>
      <w:r>
        <w:rPr>
          <w:rFonts w:hint="eastAsia"/>
          <w:color w:val="auto"/>
          <w:highlight w:val="none"/>
          <w:lang w:eastAsia="zh-CN"/>
        </w:rPr>
        <w:t>采购人</w:t>
      </w:r>
      <w:r>
        <w:rPr>
          <w:rFonts w:hint="eastAsia"/>
          <w:color w:val="auto"/>
          <w:highlight w:val="none"/>
        </w:rPr>
        <w:t>或其他供应商的合法权益。不得以任何方式干扰、影响评审工作。</w:t>
      </w:r>
    </w:p>
    <w:p w14:paraId="56C5C31B">
      <w:pPr>
        <w:numPr>
          <w:ilvl w:val="1"/>
          <w:numId w:val="29"/>
        </w:numPr>
        <w:tabs>
          <w:tab w:val="left" w:pos="0"/>
        </w:tabs>
        <w:adjustRightInd w:val="0"/>
        <w:spacing w:line="360" w:lineRule="auto"/>
        <w:ind w:left="0" w:firstLine="425"/>
        <w:rPr>
          <w:color w:val="auto"/>
          <w:highlight w:val="none"/>
        </w:rPr>
      </w:pPr>
      <w:r>
        <w:rPr>
          <w:rFonts w:hint="eastAsia"/>
          <w:color w:val="auto"/>
          <w:highlight w:val="none"/>
        </w:rPr>
        <w:t>对谈判小组成员的纪律要求：谈判小组成员不得私下接触供应商，收受其财物和好处。若与供应商有利害关系，可能影响公正评审，应当主动回避。在谈判活动中，应当客观、公正地履行职责。应当按照</w:t>
      </w:r>
      <w:r>
        <w:rPr>
          <w:rFonts w:hint="eastAsia"/>
          <w:color w:val="auto"/>
          <w:highlight w:val="none"/>
          <w:lang w:eastAsia="zh-CN"/>
        </w:rPr>
        <w:t>谈判文件</w:t>
      </w:r>
      <w:r>
        <w:rPr>
          <w:rFonts w:hint="eastAsia"/>
          <w:color w:val="auto"/>
          <w:highlight w:val="none"/>
        </w:rPr>
        <w:t>规定的方法和标准进行评审（或谈判），独立地提出评审意见，认真负责地对每个有效的供应商进行评价和打分。不得指定供应商，不得有不正当的倾向，或者误导和干预其他人员进行独立评分。</w:t>
      </w:r>
    </w:p>
    <w:p w14:paraId="73F53CF2">
      <w:pPr>
        <w:pStyle w:val="76"/>
        <w:ind w:firstLine="0" w:firstLineChars="0"/>
        <w:jc w:val="center"/>
        <w:rPr>
          <w:rFonts w:hint="eastAsia" w:ascii="宋体" w:hAnsi="宋体" w:eastAsia="宋体" w:cs="Arial"/>
          <w:color w:val="auto"/>
          <w:kern w:val="44"/>
          <w:szCs w:val="36"/>
          <w:highlight w:val="none"/>
        </w:rPr>
      </w:pPr>
    </w:p>
    <w:p w14:paraId="2052D450">
      <w:pPr>
        <w:pStyle w:val="76"/>
        <w:ind w:firstLine="0" w:firstLineChars="0"/>
        <w:jc w:val="center"/>
        <w:rPr>
          <w:rFonts w:ascii="宋体" w:hAnsi="宋体" w:eastAsia="宋体" w:cs="Arial"/>
          <w:color w:val="auto"/>
          <w:kern w:val="44"/>
          <w:szCs w:val="36"/>
          <w:highlight w:val="none"/>
        </w:rPr>
      </w:pPr>
      <w:r>
        <w:rPr>
          <w:rFonts w:hint="eastAsia" w:ascii="宋体" w:hAnsi="宋体" w:eastAsia="宋体" w:cs="Arial"/>
          <w:color w:val="auto"/>
          <w:kern w:val="44"/>
          <w:szCs w:val="36"/>
          <w:highlight w:val="none"/>
        </w:rPr>
        <w:t>第三部分　采购</w:t>
      </w:r>
      <w:r>
        <w:rPr>
          <w:rFonts w:hint="eastAsia" w:ascii="宋体" w:hAnsi="宋体" w:eastAsia="宋体" w:cs="Arial"/>
          <w:color w:val="auto"/>
          <w:kern w:val="44"/>
          <w:szCs w:val="36"/>
          <w:highlight w:val="none"/>
          <w:lang w:val="en-US" w:eastAsia="zh-CN"/>
        </w:rPr>
        <w:t>内容与要求</w:t>
      </w:r>
    </w:p>
    <w:p w14:paraId="45B4FD76">
      <w:pPr>
        <w:pStyle w:val="76"/>
        <w:numPr>
          <w:ilvl w:val="0"/>
          <w:numId w:val="30"/>
        </w:numPr>
        <w:tabs>
          <w:tab w:val="left" w:pos="1134"/>
        </w:tabs>
        <w:ind w:firstLineChars="0"/>
        <w:rPr>
          <w:rFonts w:hint="eastAsia" w:ascii="黑体" w:hAnsi="黑体" w:eastAsia="黑体" w:cs="黑体"/>
          <w:b/>
          <w:bCs w:val="0"/>
          <w:color w:val="auto"/>
          <w:sz w:val="28"/>
          <w:szCs w:val="28"/>
          <w:highlight w:val="none"/>
        </w:rPr>
      </w:pPr>
      <w:r>
        <w:rPr>
          <w:rFonts w:hint="eastAsia" w:ascii="黑体" w:hAnsi="黑体" w:eastAsia="黑体" w:cs="黑体"/>
          <w:b/>
          <w:bCs w:val="0"/>
          <w:color w:val="auto"/>
          <w:sz w:val="28"/>
          <w:szCs w:val="28"/>
          <w:highlight w:val="none"/>
        </w:rPr>
        <w:t>需求概要</w:t>
      </w:r>
    </w:p>
    <w:p w14:paraId="0A4AAB0F">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63C7A03A">
      <w:pPr>
        <w:numPr>
          <w:ilvl w:val="0"/>
          <w:numId w:val="31"/>
        </w:numPr>
        <w:tabs>
          <w:tab w:val="left" w:pos="0"/>
        </w:tabs>
        <w:adjustRightInd w:val="0"/>
        <w:spacing w:line="360" w:lineRule="auto"/>
        <w:ind w:left="0" w:firstLine="422" w:firstLineChars="200"/>
        <w:rPr>
          <w:b/>
          <w:color w:val="auto"/>
          <w:highlight w:val="none"/>
        </w:rPr>
      </w:pPr>
      <w:r>
        <w:rPr>
          <w:rFonts w:hint="eastAsia"/>
          <w:b/>
          <w:color w:val="auto"/>
          <w:highlight w:val="none"/>
        </w:rPr>
        <w:t>采购需求</w:t>
      </w:r>
      <w:r>
        <w:rPr>
          <w:b/>
          <w:color w:val="auto"/>
          <w:highlight w:val="none"/>
        </w:rPr>
        <w:t>一览表</w:t>
      </w:r>
    </w:p>
    <w:tbl>
      <w:tblPr>
        <w:tblStyle w:val="37"/>
        <w:tblW w:w="9644"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920"/>
        <w:gridCol w:w="2334"/>
        <w:gridCol w:w="981"/>
        <w:gridCol w:w="1710"/>
      </w:tblGrid>
      <w:tr w14:paraId="6E4D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60" w:hRule="atLeast"/>
        </w:trPr>
        <w:tc>
          <w:tcPr>
            <w:tcW w:w="1920" w:type="dxa"/>
            <w:shd w:val="clear" w:color="auto" w:fill="FFFFFF"/>
            <w:tcMar>
              <w:left w:w="105" w:type="dxa"/>
              <w:right w:w="105" w:type="dxa"/>
            </w:tcMar>
            <w:vAlign w:val="center"/>
          </w:tcPr>
          <w:p w14:paraId="007EEAEA">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物资名称</w:t>
            </w:r>
          </w:p>
        </w:tc>
        <w:tc>
          <w:tcPr>
            <w:tcW w:w="2334" w:type="dxa"/>
            <w:shd w:val="clear" w:color="auto" w:fill="FFFFFF"/>
            <w:tcMar>
              <w:left w:w="105" w:type="dxa"/>
              <w:right w:w="105" w:type="dxa"/>
            </w:tcMar>
            <w:vAlign w:val="center"/>
          </w:tcPr>
          <w:p w14:paraId="40F4B71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油品标号</w:t>
            </w:r>
          </w:p>
        </w:tc>
        <w:tc>
          <w:tcPr>
            <w:tcW w:w="981" w:type="dxa"/>
            <w:shd w:val="clear" w:color="auto" w:fill="FFFFFF"/>
            <w:tcMar>
              <w:left w:w="105" w:type="dxa"/>
              <w:right w:w="105" w:type="dxa"/>
            </w:tcMar>
            <w:vAlign w:val="center"/>
          </w:tcPr>
          <w:p w14:paraId="568E4D9C">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单位</w:t>
            </w:r>
          </w:p>
        </w:tc>
        <w:tc>
          <w:tcPr>
            <w:tcW w:w="1710" w:type="dxa"/>
            <w:shd w:val="clear" w:color="auto" w:fill="FFFFFF"/>
            <w:tcMar>
              <w:left w:w="105" w:type="dxa"/>
              <w:right w:w="105" w:type="dxa"/>
            </w:tcMar>
            <w:vAlign w:val="center"/>
          </w:tcPr>
          <w:p w14:paraId="7B88F211">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数量</w:t>
            </w:r>
          </w:p>
        </w:tc>
      </w:tr>
      <w:tr w14:paraId="037E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1920" w:type="dxa"/>
            <w:shd w:val="clear" w:color="auto" w:fill="FFFFFF"/>
            <w:tcMar>
              <w:left w:w="105" w:type="dxa"/>
              <w:right w:w="105" w:type="dxa"/>
            </w:tcMar>
            <w:vAlign w:val="center"/>
          </w:tcPr>
          <w:p w14:paraId="348B6BD7">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310C7D27">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-20#柴油</w:t>
            </w:r>
          </w:p>
        </w:tc>
        <w:tc>
          <w:tcPr>
            <w:tcW w:w="981" w:type="dxa"/>
            <w:shd w:val="clear" w:color="auto" w:fill="FFFFFF"/>
            <w:tcMar>
              <w:left w:w="105" w:type="dxa"/>
              <w:right w:w="105" w:type="dxa"/>
            </w:tcMar>
            <w:vAlign w:val="center"/>
          </w:tcPr>
          <w:p w14:paraId="265CB9B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5D52D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3000</w:t>
            </w:r>
          </w:p>
        </w:tc>
      </w:tr>
      <w:tr w14:paraId="3624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00" w:hRule="atLeast"/>
        </w:trPr>
        <w:tc>
          <w:tcPr>
            <w:tcW w:w="1920" w:type="dxa"/>
            <w:shd w:val="clear" w:color="auto" w:fill="FFFFFF"/>
            <w:tcMar>
              <w:left w:w="105" w:type="dxa"/>
              <w:right w:w="105" w:type="dxa"/>
            </w:tcMar>
            <w:vAlign w:val="center"/>
          </w:tcPr>
          <w:p w14:paraId="3EBB95A4">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2BDC9F74">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-10#柴油</w:t>
            </w:r>
          </w:p>
        </w:tc>
        <w:tc>
          <w:tcPr>
            <w:tcW w:w="981" w:type="dxa"/>
            <w:shd w:val="clear" w:color="auto" w:fill="FFFFFF"/>
            <w:tcMar>
              <w:left w:w="105" w:type="dxa"/>
              <w:right w:w="105" w:type="dxa"/>
            </w:tcMar>
            <w:vAlign w:val="center"/>
          </w:tcPr>
          <w:p w14:paraId="527D527F">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72665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3000</w:t>
            </w:r>
          </w:p>
        </w:tc>
      </w:tr>
      <w:tr w14:paraId="1F8C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trPr>
        <w:tc>
          <w:tcPr>
            <w:tcW w:w="1920" w:type="dxa"/>
            <w:shd w:val="clear" w:color="auto" w:fill="FFFFFF"/>
            <w:tcMar>
              <w:left w:w="105" w:type="dxa"/>
              <w:right w:w="105" w:type="dxa"/>
            </w:tcMar>
            <w:vAlign w:val="center"/>
          </w:tcPr>
          <w:p w14:paraId="32B69229">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51ACE4A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0#柴油</w:t>
            </w:r>
          </w:p>
        </w:tc>
        <w:tc>
          <w:tcPr>
            <w:tcW w:w="981" w:type="dxa"/>
            <w:shd w:val="clear" w:color="auto" w:fill="FFFFFF"/>
            <w:tcMar>
              <w:left w:w="105" w:type="dxa"/>
              <w:right w:w="105" w:type="dxa"/>
            </w:tcMar>
            <w:vAlign w:val="center"/>
          </w:tcPr>
          <w:p w14:paraId="0DCFB5C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75095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14040</w:t>
            </w:r>
          </w:p>
        </w:tc>
      </w:tr>
      <w:tr w14:paraId="5D36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1920" w:type="dxa"/>
            <w:shd w:val="clear" w:color="auto" w:fill="FFFFFF"/>
            <w:tcMar>
              <w:left w:w="105" w:type="dxa"/>
              <w:right w:w="105" w:type="dxa"/>
            </w:tcMar>
            <w:vAlign w:val="center"/>
          </w:tcPr>
          <w:p w14:paraId="42F1BA91">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692CCE80">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92#汽油</w:t>
            </w:r>
          </w:p>
        </w:tc>
        <w:tc>
          <w:tcPr>
            <w:tcW w:w="981" w:type="dxa"/>
            <w:shd w:val="clear" w:color="auto" w:fill="FFFFFF"/>
            <w:tcMar>
              <w:left w:w="105" w:type="dxa"/>
              <w:right w:w="105" w:type="dxa"/>
            </w:tcMar>
            <w:vAlign w:val="center"/>
          </w:tcPr>
          <w:p w14:paraId="561D2E7F">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33E0F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70800</w:t>
            </w:r>
          </w:p>
        </w:tc>
      </w:tr>
      <w:tr w14:paraId="60B2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trPr>
        <w:tc>
          <w:tcPr>
            <w:tcW w:w="1920" w:type="dxa"/>
            <w:shd w:val="clear" w:color="auto" w:fill="FFFFFF"/>
            <w:tcMar>
              <w:left w:w="105" w:type="dxa"/>
              <w:right w:w="105" w:type="dxa"/>
            </w:tcMar>
            <w:vAlign w:val="center"/>
          </w:tcPr>
          <w:p w14:paraId="30B5777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6879F70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95#汽油</w:t>
            </w:r>
          </w:p>
        </w:tc>
        <w:tc>
          <w:tcPr>
            <w:tcW w:w="981" w:type="dxa"/>
            <w:shd w:val="clear" w:color="auto" w:fill="FFFFFF"/>
            <w:tcMar>
              <w:left w:w="105" w:type="dxa"/>
              <w:right w:w="105" w:type="dxa"/>
            </w:tcMar>
            <w:vAlign w:val="center"/>
          </w:tcPr>
          <w:p w14:paraId="3B773AD7">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6DB4B2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4260</w:t>
            </w:r>
          </w:p>
        </w:tc>
      </w:tr>
    </w:tbl>
    <w:p w14:paraId="483A896C">
      <w:pPr>
        <w:pStyle w:val="2"/>
        <w:rPr>
          <w:rFonts w:hint="default" w:eastAsia="宋体"/>
          <w:highlight w:val="none"/>
          <w:lang w:val="en-US" w:eastAsia="zh-CN"/>
        </w:rPr>
      </w:pPr>
      <w:r>
        <w:rPr>
          <w:rFonts w:hint="eastAsia"/>
          <w:color w:val="auto"/>
          <w:highlight w:val="none"/>
        </w:rPr>
        <w:t>注：所有品项内容报价时必须完整。</w:t>
      </w:r>
    </w:p>
    <w:p w14:paraId="23C83ED1">
      <w:pPr>
        <w:numPr>
          <w:ilvl w:val="0"/>
          <w:numId w:val="31"/>
        </w:numPr>
        <w:tabs>
          <w:tab w:val="left" w:pos="0"/>
        </w:tabs>
        <w:adjustRightInd w:val="0"/>
        <w:spacing w:line="360" w:lineRule="auto"/>
        <w:ind w:left="0" w:firstLine="422" w:firstLineChars="200"/>
        <w:rPr>
          <w:b/>
          <w:color w:val="auto"/>
          <w:highlight w:val="none"/>
        </w:rPr>
      </w:pPr>
      <w:r>
        <w:rPr>
          <w:rFonts w:hint="eastAsia"/>
          <w:b/>
          <w:color w:val="auto"/>
          <w:highlight w:val="none"/>
        </w:rPr>
        <w:t>说明</w:t>
      </w:r>
    </w:p>
    <w:p w14:paraId="007756CA">
      <w:pPr>
        <w:numPr>
          <w:ilvl w:val="255"/>
          <w:numId w:val="0"/>
        </w:numPr>
        <w:spacing w:line="360" w:lineRule="auto"/>
        <w:ind w:firstLine="420" w:firstLineChars="200"/>
        <w:rPr>
          <w:color w:val="auto"/>
          <w:highlight w:val="none"/>
        </w:rPr>
      </w:pPr>
      <w:r>
        <w:rPr>
          <w:rFonts w:hint="eastAsia"/>
          <w:color w:val="auto"/>
          <w:highlight w:val="none"/>
        </w:rPr>
        <w:t xml:space="preserve">2.1 </w:t>
      </w:r>
      <w:r>
        <w:rPr>
          <w:rFonts w:hint="eastAsia" w:ascii="宋体" w:hAnsi="宋体" w:eastAsia="宋体" w:cs="宋体"/>
          <w:color w:val="auto"/>
          <w:sz w:val="24"/>
          <w:szCs w:val="24"/>
          <w:highlight w:val="none"/>
          <w:shd w:val="clear" w:color="auto" w:fill="FFFFFF"/>
        </w:rPr>
        <w:t>报价必须对全部内容进行</w:t>
      </w:r>
      <w:r>
        <w:rPr>
          <w:rFonts w:hint="eastAsia" w:ascii="宋体" w:hAnsi="宋体" w:eastAsia="宋体" w:cs="宋体"/>
          <w:b/>
          <w:bCs/>
          <w:color w:val="auto"/>
          <w:sz w:val="24"/>
          <w:szCs w:val="24"/>
          <w:highlight w:val="none"/>
          <w:shd w:val="clear" w:color="auto" w:fill="FFFFFF"/>
        </w:rPr>
        <w:t>一次性报价</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包括</w:t>
      </w:r>
      <w:r>
        <w:rPr>
          <w:rFonts w:hint="eastAsia" w:ascii="宋体" w:hAnsi="宋体" w:eastAsia="宋体" w:cs="宋体"/>
          <w:color w:val="auto"/>
          <w:sz w:val="24"/>
          <w:szCs w:val="24"/>
          <w:highlight w:val="none"/>
          <w:shd w:val="clear" w:color="auto" w:fill="FFFFFF"/>
        </w:rPr>
        <w:t>但不限于材料费、人工费、辅材费、机械费、安装费、综合取费。</w:t>
      </w:r>
      <w:r>
        <w:rPr>
          <w:rFonts w:hint="eastAsia" w:ascii="宋体" w:hAnsi="宋体" w:eastAsia="宋体" w:cs="宋体"/>
          <w:bCs/>
          <w:color w:val="auto"/>
          <w:sz w:val="24"/>
          <w:szCs w:val="24"/>
          <w:highlight w:val="none"/>
          <w:shd w:val="clear" w:color="auto" w:fill="FFFFFF"/>
        </w:rPr>
        <w:t>如</w:t>
      </w:r>
      <w:r>
        <w:rPr>
          <w:rStyle w:val="40"/>
          <w:rFonts w:hint="eastAsia" w:ascii="宋体" w:hAnsi="宋体" w:eastAsia="宋体" w:cs="宋体"/>
          <w:b w:val="0"/>
          <w:bCs/>
          <w:color w:val="auto"/>
          <w:sz w:val="24"/>
          <w:szCs w:val="24"/>
          <w:highlight w:val="none"/>
          <w:shd w:val="clear" w:color="auto" w:fill="FFFFFF"/>
        </w:rPr>
        <w:t>有缺漏或超过预算的报价，将导致报价无效。</w:t>
      </w:r>
    </w:p>
    <w:p w14:paraId="60044FF0">
      <w:pPr>
        <w:spacing w:line="360" w:lineRule="auto"/>
        <w:ind w:firstLine="420" w:firstLineChars="200"/>
        <w:rPr>
          <w:rFonts w:hint="eastAsia" w:eastAsia="宋体"/>
          <w:color w:val="auto"/>
          <w:highlight w:val="none"/>
          <w:lang w:eastAsia="zh-CN"/>
        </w:rPr>
      </w:pPr>
      <w:r>
        <w:rPr>
          <w:rFonts w:hint="eastAsia"/>
          <w:color w:val="auto"/>
          <w:highlight w:val="none"/>
        </w:rPr>
        <w:t>2.2 报价品牌型号不允许偏离，供应商必须按指定品牌或在推荐品牌范围内进行报价。</w:t>
      </w:r>
    </w:p>
    <w:p w14:paraId="4ACBC7EF">
      <w:pPr>
        <w:spacing w:line="360" w:lineRule="auto"/>
        <w:ind w:firstLine="420" w:firstLineChars="200"/>
        <w:rPr>
          <w:rFonts w:hint="eastAsia"/>
          <w:color w:val="auto"/>
          <w:highlight w:val="none"/>
        </w:rPr>
      </w:pPr>
      <w:r>
        <w:rPr>
          <w:rFonts w:hint="eastAsia"/>
          <w:color w:val="auto"/>
          <w:highlight w:val="none"/>
        </w:rPr>
        <w:t xml:space="preserve">2.3 </w:t>
      </w:r>
      <w:r>
        <w:rPr>
          <w:rFonts w:hint="eastAsia" w:ascii="宋体" w:hAnsi="宋体" w:eastAsia="宋体" w:cs="宋体"/>
          <w:color w:val="auto"/>
          <w:sz w:val="24"/>
          <w:szCs w:val="24"/>
          <w:highlight w:val="none"/>
          <w:shd w:val="clear" w:color="auto" w:fill="FFFFFF"/>
        </w:rPr>
        <w:t>价格为含税价。在合同履行期间如遇国家的税率调整，则价税合计相应调整，以发票开具的日期为准。</w:t>
      </w:r>
    </w:p>
    <w:p w14:paraId="0CD43A09">
      <w:pPr>
        <w:spacing w:line="360" w:lineRule="auto"/>
        <w:ind w:firstLine="420" w:firstLineChars="200"/>
        <w:rPr>
          <w:rFonts w:hint="eastAsia"/>
          <w:color w:val="auto"/>
          <w:highlight w:val="none"/>
        </w:rPr>
      </w:pPr>
      <w:r>
        <w:rPr>
          <w:rFonts w:hint="eastAsia"/>
          <w:color w:val="auto"/>
          <w:highlight w:val="none"/>
        </w:rPr>
        <w:t>2.</w:t>
      </w:r>
      <w:r>
        <w:rPr>
          <w:rFonts w:hint="eastAsia"/>
          <w:color w:val="auto"/>
          <w:highlight w:val="none"/>
          <w:lang w:val="en-US" w:eastAsia="zh-CN"/>
        </w:rPr>
        <w:t>4</w:t>
      </w:r>
      <w:r>
        <w:rPr>
          <w:rFonts w:hint="eastAsia"/>
          <w:color w:val="auto"/>
          <w:highlight w:val="none"/>
        </w:rPr>
        <w:t>采购数量仅是预估数量，实际采购数量以</w:t>
      </w:r>
      <w:r>
        <w:rPr>
          <w:rFonts w:hint="eastAsia"/>
          <w:color w:val="auto"/>
          <w:highlight w:val="none"/>
          <w:lang w:val="en-US" w:eastAsia="zh-CN"/>
        </w:rPr>
        <w:t>采购人</w:t>
      </w:r>
      <w:r>
        <w:rPr>
          <w:rFonts w:hint="eastAsia"/>
          <w:color w:val="auto"/>
          <w:highlight w:val="none"/>
        </w:rPr>
        <w:t>订单为准。</w:t>
      </w:r>
    </w:p>
    <w:p w14:paraId="55C4C378">
      <w:pPr>
        <w:numPr>
          <w:ilvl w:val="0"/>
          <w:numId w:val="31"/>
        </w:numPr>
        <w:tabs>
          <w:tab w:val="left" w:pos="0"/>
        </w:tabs>
        <w:adjustRightInd w:val="0"/>
        <w:spacing w:line="360" w:lineRule="auto"/>
        <w:ind w:left="0" w:firstLine="422" w:firstLineChars="200"/>
        <w:rPr>
          <w:b/>
          <w:color w:val="auto"/>
          <w:highlight w:val="none"/>
        </w:rPr>
      </w:pPr>
      <w:r>
        <w:rPr>
          <w:rFonts w:hint="eastAsia"/>
          <w:b/>
          <w:color w:val="auto"/>
          <w:highlight w:val="none"/>
        </w:rPr>
        <w:t>不得转包与分包。</w:t>
      </w:r>
    </w:p>
    <w:p w14:paraId="0E655A84">
      <w:pPr>
        <w:pStyle w:val="2"/>
        <w:rPr>
          <w:highlight w:val="none"/>
        </w:rPr>
      </w:pPr>
    </w:p>
    <w:p w14:paraId="46A5961A">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7A3B1A6F">
      <w:pPr>
        <w:numPr>
          <w:ilvl w:val="0"/>
          <w:numId w:val="32"/>
        </w:numPr>
        <w:tabs>
          <w:tab w:val="left" w:pos="0"/>
        </w:tabs>
        <w:adjustRightInd w:val="0"/>
        <w:spacing w:line="360" w:lineRule="auto"/>
        <w:ind w:left="0" w:firstLine="422" w:firstLineChars="200"/>
        <w:rPr>
          <w:b/>
          <w:color w:val="auto"/>
          <w:highlight w:val="none"/>
        </w:rPr>
      </w:pPr>
      <w:r>
        <w:rPr>
          <w:rFonts w:hint="eastAsia"/>
          <w:b/>
          <w:color w:val="auto"/>
          <w:highlight w:val="none"/>
        </w:rPr>
        <w:t>采购需求</w:t>
      </w:r>
      <w:r>
        <w:rPr>
          <w:b/>
          <w:color w:val="auto"/>
          <w:highlight w:val="none"/>
        </w:rPr>
        <w:t>一览表</w:t>
      </w:r>
    </w:p>
    <w:tbl>
      <w:tblPr>
        <w:tblStyle w:val="37"/>
        <w:tblW w:w="9644"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920"/>
        <w:gridCol w:w="2334"/>
        <w:gridCol w:w="981"/>
        <w:gridCol w:w="1710"/>
      </w:tblGrid>
      <w:tr w14:paraId="07AC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60" w:hRule="atLeast"/>
        </w:trPr>
        <w:tc>
          <w:tcPr>
            <w:tcW w:w="1920" w:type="dxa"/>
            <w:shd w:val="clear" w:color="auto" w:fill="FFFFFF"/>
            <w:tcMar>
              <w:left w:w="105" w:type="dxa"/>
              <w:right w:w="105" w:type="dxa"/>
            </w:tcMar>
            <w:vAlign w:val="center"/>
          </w:tcPr>
          <w:p w14:paraId="3668E606">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物资名称</w:t>
            </w:r>
          </w:p>
        </w:tc>
        <w:tc>
          <w:tcPr>
            <w:tcW w:w="2334" w:type="dxa"/>
            <w:shd w:val="clear" w:color="auto" w:fill="FFFFFF"/>
            <w:tcMar>
              <w:left w:w="105" w:type="dxa"/>
              <w:right w:w="105" w:type="dxa"/>
            </w:tcMar>
            <w:vAlign w:val="center"/>
          </w:tcPr>
          <w:p w14:paraId="0F6B699C">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油品标号</w:t>
            </w:r>
          </w:p>
        </w:tc>
        <w:tc>
          <w:tcPr>
            <w:tcW w:w="981" w:type="dxa"/>
            <w:shd w:val="clear" w:color="auto" w:fill="FFFFFF"/>
            <w:tcMar>
              <w:left w:w="105" w:type="dxa"/>
              <w:right w:w="105" w:type="dxa"/>
            </w:tcMar>
            <w:vAlign w:val="center"/>
          </w:tcPr>
          <w:p w14:paraId="584094CC">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单位</w:t>
            </w:r>
          </w:p>
        </w:tc>
        <w:tc>
          <w:tcPr>
            <w:tcW w:w="1710" w:type="dxa"/>
            <w:shd w:val="clear" w:color="auto" w:fill="FFFFFF"/>
            <w:tcMar>
              <w:left w:w="105" w:type="dxa"/>
              <w:right w:w="105" w:type="dxa"/>
            </w:tcMar>
            <w:vAlign w:val="center"/>
          </w:tcPr>
          <w:p w14:paraId="19C9AAD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数量</w:t>
            </w:r>
          </w:p>
        </w:tc>
      </w:tr>
      <w:tr w14:paraId="49FB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85" w:hRule="atLeast"/>
        </w:trPr>
        <w:tc>
          <w:tcPr>
            <w:tcW w:w="1920" w:type="dxa"/>
            <w:shd w:val="clear" w:color="auto" w:fill="FFFFFF"/>
            <w:tcMar>
              <w:left w:w="105" w:type="dxa"/>
              <w:right w:w="105" w:type="dxa"/>
            </w:tcMar>
            <w:vAlign w:val="center"/>
          </w:tcPr>
          <w:p w14:paraId="21DC186E">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5428C3A9">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-20#柴油</w:t>
            </w:r>
          </w:p>
        </w:tc>
        <w:tc>
          <w:tcPr>
            <w:tcW w:w="981" w:type="dxa"/>
            <w:shd w:val="clear" w:color="auto" w:fill="FFFFFF"/>
            <w:tcMar>
              <w:left w:w="105" w:type="dxa"/>
              <w:right w:w="105" w:type="dxa"/>
            </w:tcMar>
            <w:vAlign w:val="center"/>
          </w:tcPr>
          <w:p w14:paraId="447F59B0">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4DF09A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2000</w:t>
            </w:r>
          </w:p>
        </w:tc>
      </w:tr>
      <w:tr w14:paraId="5FA8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00" w:hRule="atLeast"/>
        </w:trPr>
        <w:tc>
          <w:tcPr>
            <w:tcW w:w="1920" w:type="dxa"/>
            <w:shd w:val="clear" w:color="auto" w:fill="FFFFFF"/>
            <w:tcMar>
              <w:left w:w="105" w:type="dxa"/>
              <w:right w:w="105" w:type="dxa"/>
            </w:tcMar>
            <w:vAlign w:val="center"/>
          </w:tcPr>
          <w:p w14:paraId="2D68F90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21EE75AD">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-10#柴油</w:t>
            </w:r>
          </w:p>
        </w:tc>
        <w:tc>
          <w:tcPr>
            <w:tcW w:w="981" w:type="dxa"/>
            <w:shd w:val="clear" w:color="auto" w:fill="FFFFFF"/>
            <w:tcMar>
              <w:left w:w="105" w:type="dxa"/>
              <w:right w:w="105" w:type="dxa"/>
            </w:tcMar>
            <w:vAlign w:val="center"/>
          </w:tcPr>
          <w:p w14:paraId="4C8E3ED3">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136E9E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2000</w:t>
            </w:r>
          </w:p>
        </w:tc>
      </w:tr>
      <w:tr w14:paraId="4D3E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10" w:hRule="atLeast"/>
        </w:trPr>
        <w:tc>
          <w:tcPr>
            <w:tcW w:w="1920" w:type="dxa"/>
            <w:shd w:val="clear" w:color="auto" w:fill="FFFFFF"/>
            <w:tcMar>
              <w:left w:w="105" w:type="dxa"/>
              <w:right w:w="105" w:type="dxa"/>
            </w:tcMar>
            <w:vAlign w:val="center"/>
          </w:tcPr>
          <w:p w14:paraId="52947EE4">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6F274917">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0#柴油</w:t>
            </w:r>
          </w:p>
        </w:tc>
        <w:tc>
          <w:tcPr>
            <w:tcW w:w="981" w:type="dxa"/>
            <w:shd w:val="clear" w:color="auto" w:fill="FFFFFF"/>
            <w:tcMar>
              <w:left w:w="105" w:type="dxa"/>
              <w:right w:w="105" w:type="dxa"/>
            </w:tcMar>
            <w:vAlign w:val="center"/>
          </w:tcPr>
          <w:p w14:paraId="06CC21CA">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63B1F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9360</w:t>
            </w:r>
          </w:p>
        </w:tc>
      </w:tr>
      <w:tr w14:paraId="27B7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85" w:hRule="atLeast"/>
        </w:trPr>
        <w:tc>
          <w:tcPr>
            <w:tcW w:w="1920" w:type="dxa"/>
            <w:shd w:val="clear" w:color="auto" w:fill="FFFFFF"/>
            <w:tcMar>
              <w:left w:w="105" w:type="dxa"/>
              <w:right w:w="105" w:type="dxa"/>
            </w:tcMar>
            <w:vAlign w:val="center"/>
          </w:tcPr>
          <w:p w14:paraId="3D0F747C">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6D7F6710">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92#汽油</w:t>
            </w:r>
          </w:p>
        </w:tc>
        <w:tc>
          <w:tcPr>
            <w:tcW w:w="981" w:type="dxa"/>
            <w:shd w:val="clear" w:color="auto" w:fill="FFFFFF"/>
            <w:tcMar>
              <w:left w:w="105" w:type="dxa"/>
              <w:right w:w="105" w:type="dxa"/>
            </w:tcMar>
            <w:vAlign w:val="center"/>
          </w:tcPr>
          <w:p w14:paraId="1054A337">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18709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47200</w:t>
            </w:r>
          </w:p>
        </w:tc>
      </w:tr>
      <w:tr w14:paraId="7A07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55" w:hRule="atLeast"/>
        </w:trPr>
        <w:tc>
          <w:tcPr>
            <w:tcW w:w="1920" w:type="dxa"/>
            <w:shd w:val="clear" w:color="auto" w:fill="FFFFFF"/>
            <w:tcMar>
              <w:left w:w="105" w:type="dxa"/>
              <w:right w:w="105" w:type="dxa"/>
            </w:tcMar>
            <w:vAlign w:val="center"/>
          </w:tcPr>
          <w:p w14:paraId="62E955D4">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油料</w:t>
            </w:r>
          </w:p>
        </w:tc>
        <w:tc>
          <w:tcPr>
            <w:tcW w:w="2334" w:type="dxa"/>
            <w:shd w:val="clear" w:color="auto" w:fill="FFFFFF"/>
            <w:tcMar>
              <w:left w:w="105" w:type="dxa"/>
              <w:right w:w="105" w:type="dxa"/>
            </w:tcMar>
            <w:vAlign w:val="center"/>
          </w:tcPr>
          <w:p w14:paraId="71582575">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95#汽油</w:t>
            </w:r>
          </w:p>
        </w:tc>
        <w:tc>
          <w:tcPr>
            <w:tcW w:w="981" w:type="dxa"/>
            <w:shd w:val="clear" w:color="auto" w:fill="FFFFFF"/>
            <w:tcMar>
              <w:left w:w="105" w:type="dxa"/>
              <w:right w:w="105" w:type="dxa"/>
            </w:tcMar>
            <w:vAlign w:val="center"/>
          </w:tcPr>
          <w:p w14:paraId="51AA7E36">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升</w:t>
            </w:r>
          </w:p>
        </w:tc>
        <w:tc>
          <w:tcPr>
            <w:tcW w:w="1710" w:type="dxa"/>
            <w:shd w:val="clear" w:color="auto" w:fill="FFFFFF"/>
            <w:tcMar>
              <w:left w:w="105" w:type="dxa"/>
              <w:right w:w="105" w:type="dxa"/>
            </w:tcMar>
            <w:vAlign w:val="center"/>
          </w:tcPr>
          <w:p w14:paraId="07C9D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2840</w:t>
            </w:r>
          </w:p>
        </w:tc>
      </w:tr>
    </w:tbl>
    <w:p w14:paraId="5A14F6FD">
      <w:pPr>
        <w:tabs>
          <w:tab w:val="left" w:pos="0"/>
        </w:tabs>
        <w:adjustRightInd w:val="0"/>
        <w:spacing w:before="156" w:beforeLines="50" w:line="360" w:lineRule="auto"/>
        <w:ind w:left="425"/>
        <w:rPr>
          <w:rFonts w:hint="default" w:eastAsia="宋体"/>
          <w:highlight w:val="none"/>
          <w:lang w:val="en-US" w:eastAsia="zh-CN"/>
        </w:rPr>
      </w:pPr>
      <w:r>
        <w:rPr>
          <w:rFonts w:hint="eastAsia"/>
          <w:color w:val="auto"/>
          <w:highlight w:val="none"/>
        </w:rPr>
        <w:t>注：所有品项内容报价时必须完整。</w:t>
      </w:r>
      <w:r>
        <w:rPr>
          <w:rFonts w:hint="eastAsia"/>
          <w:color w:val="auto"/>
          <w:highlight w:val="none"/>
          <w:lang w:val="en-US" w:eastAsia="zh-CN"/>
        </w:rPr>
        <w:t xml:space="preserve">        </w:t>
      </w:r>
    </w:p>
    <w:p w14:paraId="49C671C4">
      <w:pPr>
        <w:numPr>
          <w:ilvl w:val="0"/>
          <w:numId w:val="32"/>
        </w:numPr>
        <w:tabs>
          <w:tab w:val="left" w:pos="0"/>
        </w:tabs>
        <w:adjustRightInd w:val="0"/>
        <w:spacing w:line="360" w:lineRule="auto"/>
        <w:ind w:left="0" w:firstLine="422" w:firstLineChars="200"/>
        <w:rPr>
          <w:b/>
          <w:color w:val="auto"/>
          <w:highlight w:val="none"/>
        </w:rPr>
      </w:pPr>
      <w:r>
        <w:rPr>
          <w:rFonts w:hint="eastAsia"/>
          <w:b/>
          <w:color w:val="auto"/>
          <w:highlight w:val="none"/>
        </w:rPr>
        <w:t>说明</w:t>
      </w:r>
    </w:p>
    <w:p w14:paraId="191BC5DC">
      <w:pPr>
        <w:numPr>
          <w:ilvl w:val="255"/>
          <w:numId w:val="0"/>
        </w:numPr>
        <w:spacing w:line="360" w:lineRule="auto"/>
        <w:ind w:firstLine="420" w:firstLineChars="200"/>
        <w:rPr>
          <w:color w:val="auto"/>
          <w:highlight w:val="none"/>
        </w:rPr>
      </w:pPr>
      <w:r>
        <w:rPr>
          <w:rFonts w:hint="eastAsia"/>
          <w:color w:val="auto"/>
          <w:highlight w:val="none"/>
        </w:rPr>
        <w:t xml:space="preserve">2.1 </w:t>
      </w:r>
      <w:r>
        <w:rPr>
          <w:rFonts w:hint="eastAsia" w:ascii="宋体" w:hAnsi="宋体" w:eastAsia="宋体" w:cs="宋体"/>
          <w:color w:val="auto"/>
          <w:sz w:val="24"/>
          <w:szCs w:val="24"/>
          <w:highlight w:val="none"/>
          <w:shd w:val="clear" w:color="auto" w:fill="FFFFFF"/>
        </w:rPr>
        <w:t>报价必须对全部内容进行</w:t>
      </w:r>
      <w:r>
        <w:rPr>
          <w:rFonts w:hint="eastAsia" w:ascii="宋体" w:hAnsi="宋体" w:eastAsia="宋体" w:cs="宋体"/>
          <w:b/>
          <w:bCs/>
          <w:color w:val="auto"/>
          <w:sz w:val="24"/>
          <w:szCs w:val="24"/>
          <w:highlight w:val="none"/>
          <w:shd w:val="clear" w:color="auto" w:fill="FFFFFF"/>
        </w:rPr>
        <w:t>一次性报价</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rPr>
        <w:t>包括</w:t>
      </w:r>
      <w:r>
        <w:rPr>
          <w:rFonts w:hint="eastAsia" w:ascii="宋体" w:hAnsi="宋体" w:eastAsia="宋体" w:cs="宋体"/>
          <w:color w:val="auto"/>
          <w:sz w:val="24"/>
          <w:szCs w:val="24"/>
          <w:highlight w:val="none"/>
          <w:shd w:val="clear" w:color="auto" w:fill="FFFFFF"/>
        </w:rPr>
        <w:t>但不限于材料费、人工费、辅材费、机械费、安装费、综合取费。</w:t>
      </w:r>
      <w:r>
        <w:rPr>
          <w:rFonts w:hint="eastAsia" w:ascii="宋体" w:hAnsi="宋体" w:eastAsia="宋体" w:cs="宋体"/>
          <w:bCs/>
          <w:color w:val="auto"/>
          <w:sz w:val="24"/>
          <w:szCs w:val="24"/>
          <w:highlight w:val="none"/>
          <w:shd w:val="clear" w:color="auto" w:fill="FFFFFF"/>
        </w:rPr>
        <w:t>如</w:t>
      </w:r>
      <w:r>
        <w:rPr>
          <w:rStyle w:val="40"/>
          <w:rFonts w:hint="eastAsia" w:ascii="宋体" w:hAnsi="宋体" w:eastAsia="宋体" w:cs="宋体"/>
          <w:b w:val="0"/>
          <w:bCs/>
          <w:color w:val="auto"/>
          <w:sz w:val="24"/>
          <w:szCs w:val="24"/>
          <w:highlight w:val="none"/>
          <w:shd w:val="clear" w:color="auto" w:fill="FFFFFF"/>
        </w:rPr>
        <w:t>有缺漏或超过预算的报价，将导致报价无效。</w:t>
      </w:r>
    </w:p>
    <w:p w14:paraId="3D234E76">
      <w:pPr>
        <w:spacing w:line="360" w:lineRule="auto"/>
        <w:ind w:firstLine="420" w:firstLineChars="200"/>
        <w:rPr>
          <w:rFonts w:hint="eastAsia" w:eastAsia="宋体"/>
          <w:color w:val="auto"/>
          <w:highlight w:val="none"/>
          <w:lang w:eastAsia="zh-CN"/>
        </w:rPr>
      </w:pPr>
      <w:r>
        <w:rPr>
          <w:rFonts w:hint="eastAsia"/>
          <w:color w:val="auto"/>
          <w:highlight w:val="none"/>
        </w:rPr>
        <w:t>2.2 报价品牌型号不允许偏离，供应商必须按指定品牌或在推荐品牌范围内进行报价。</w:t>
      </w:r>
    </w:p>
    <w:p w14:paraId="0A9AE066">
      <w:pPr>
        <w:spacing w:line="360" w:lineRule="auto"/>
        <w:ind w:firstLine="420" w:firstLineChars="200"/>
        <w:rPr>
          <w:rFonts w:hint="eastAsia"/>
          <w:color w:val="auto"/>
          <w:highlight w:val="none"/>
        </w:rPr>
      </w:pPr>
      <w:r>
        <w:rPr>
          <w:rFonts w:hint="eastAsia"/>
          <w:color w:val="auto"/>
          <w:highlight w:val="none"/>
        </w:rPr>
        <w:t xml:space="preserve">2.3 </w:t>
      </w:r>
      <w:r>
        <w:rPr>
          <w:rFonts w:hint="eastAsia" w:ascii="宋体" w:hAnsi="宋体" w:eastAsia="宋体" w:cs="宋体"/>
          <w:color w:val="auto"/>
          <w:sz w:val="24"/>
          <w:szCs w:val="24"/>
          <w:highlight w:val="none"/>
          <w:shd w:val="clear" w:color="auto" w:fill="FFFFFF"/>
        </w:rPr>
        <w:t>价格为含税价。在合同履行期间如遇国家的税率调整，则价税合计相应调整，以发票开具的日期为准。</w:t>
      </w:r>
    </w:p>
    <w:p w14:paraId="70D47522">
      <w:pPr>
        <w:spacing w:line="360" w:lineRule="auto"/>
        <w:ind w:firstLine="420" w:firstLineChars="200"/>
        <w:rPr>
          <w:rFonts w:hint="eastAsia"/>
          <w:color w:val="auto"/>
          <w:highlight w:val="none"/>
        </w:rPr>
      </w:pPr>
      <w:r>
        <w:rPr>
          <w:rFonts w:hint="eastAsia"/>
          <w:color w:val="auto"/>
          <w:highlight w:val="none"/>
        </w:rPr>
        <w:t>2.</w:t>
      </w:r>
      <w:r>
        <w:rPr>
          <w:rFonts w:hint="eastAsia"/>
          <w:color w:val="auto"/>
          <w:highlight w:val="none"/>
          <w:lang w:val="en-US" w:eastAsia="zh-CN"/>
        </w:rPr>
        <w:t>4</w:t>
      </w:r>
      <w:r>
        <w:rPr>
          <w:rFonts w:hint="eastAsia"/>
          <w:color w:val="auto"/>
          <w:highlight w:val="none"/>
        </w:rPr>
        <w:t>采购数量仅是预估数量，实际采购数量以</w:t>
      </w:r>
      <w:r>
        <w:rPr>
          <w:rFonts w:hint="eastAsia"/>
          <w:color w:val="auto"/>
          <w:highlight w:val="none"/>
          <w:lang w:val="en-US" w:eastAsia="zh-CN"/>
        </w:rPr>
        <w:t>采购人</w:t>
      </w:r>
      <w:r>
        <w:rPr>
          <w:rFonts w:hint="eastAsia"/>
          <w:color w:val="auto"/>
          <w:highlight w:val="none"/>
        </w:rPr>
        <w:t>订单为准。</w:t>
      </w:r>
    </w:p>
    <w:p w14:paraId="40DC53DE">
      <w:pPr>
        <w:numPr>
          <w:ilvl w:val="0"/>
          <w:numId w:val="32"/>
        </w:numPr>
        <w:tabs>
          <w:tab w:val="left" w:pos="0"/>
        </w:tabs>
        <w:adjustRightInd w:val="0"/>
        <w:spacing w:line="360" w:lineRule="auto"/>
        <w:ind w:left="0" w:firstLine="422" w:firstLineChars="200"/>
        <w:rPr>
          <w:b/>
          <w:color w:val="auto"/>
          <w:highlight w:val="none"/>
        </w:rPr>
      </w:pPr>
      <w:r>
        <w:rPr>
          <w:rFonts w:hint="eastAsia"/>
          <w:b/>
          <w:color w:val="auto"/>
          <w:highlight w:val="none"/>
        </w:rPr>
        <w:t>不得转包与分包。</w:t>
      </w:r>
    </w:p>
    <w:p w14:paraId="52762EA2">
      <w:pPr>
        <w:pStyle w:val="2"/>
        <w:rPr>
          <w:highlight w:val="none"/>
        </w:rPr>
      </w:pPr>
    </w:p>
    <w:p w14:paraId="3628DE42">
      <w:pPr>
        <w:pStyle w:val="76"/>
        <w:numPr>
          <w:ilvl w:val="0"/>
          <w:numId w:val="30"/>
        </w:numPr>
        <w:ind w:left="425" w:hanging="425" w:firstLineChars="0"/>
        <w:rPr>
          <w:rFonts w:hint="eastAsia" w:ascii="黑体" w:hAnsi="黑体" w:eastAsia="黑体" w:cs="黑体"/>
          <w:b/>
          <w:bCs w:val="0"/>
          <w:color w:val="auto"/>
          <w:sz w:val="28"/>
          <w:szCs w:val="28"/>
          <w:highlight w:val="none"/>
        </w:rPr>
      </w:pPr>
      <w:r>
        <w:rPr>
          <w:rFonts w:hint="eastAsia" w:ascii="黑体" w:hAnsi="黑体" w:eastAsia="黑体" w:cs="黑体"/>
          <w:b/>
          <w:bCs w:val="0"/>
          <w:color w:val="auto"/>
          <w:sz w:val="28"/>
          <w:szCs w:val="28"/>
          <w:highlight w:val="none"/>
          <w:lang w:val="en-US" w:eastAsia="zh-CN"/>
        </w:rPr>
        <w:t>合同期限及交货地点</w:t>
      </w:r>
    </w:p>
    <w:p w14:paraId="2DCF877F">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合同包1：</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-大兴机场北京区域</w:t>
      </w:r>
    </w:p>
    <w:p w14:paraId="65281BDE">
      <w:pPr>
        <w:numPr>
          <w:ilvl w:val="0"/>
          <w:numId w:val="33"/>
        </w:numPr>
        <w:tabs>
          <w:tab w:val="left" w:pos="0"/>
        </w:tabs>
        <w:adjustRightInd w:val="0"/>
        <w:spacing w:line="360" w:lineRule="auto"/>
        <w:ind w:firstLine="1"/>
        <w:rPr>
          <w:rFonts w:hint="eastAsia" w:ascii="宋体" w:hAnsi="宋体" w:eastAsia="宋体" w:cs="宋体"/>
          <w:color w:val="auto"/>
          <w:sz w:val="24"/>
          <w:szCs w:val="24"/>
          <w:highlight w:val="none"/>
          <w:shd w:val="clear" w:color="auto" w:fill="FFFFFF"/>
        </w:rPr>
      </w:pPr>
      <w:r>
        <w:rPr>
          <w:rFonts w:hint="eastAsia" w:ascii="宋体" w:hAnsi="宋体" w:eastAsia="宋体" w:cs="宋体"/>
          <w:b w:val="0"/>
          <w:color w:val="auto"/>
          <w:sz w:val="24"/>
          <w:szCs w:val="24"/>
          <w:highlight w:val="none"/>
          <w:shd w:val="clear" w:color="auto" w:fill="FFFFFF"/>
          <w:lang w:val="en-US" w:eastAsia="zh-CN"/>
        </w:rPr>
        <w:t>合同期限：1年。</w:t>
      </w:r>
    </w:p>
    <w:p w14:paraId="2642C512">
      <w:pPr>
        <w:numPr>
          <w:ilvl w:val="0"/>
          <w:numId w:val="33"/>
        </w:numPr>
        <w:tabs>
          <w:tab w:val="left" w:pos="0"/>
        </w:tabs>
        <w:adjustRightInd w:val="0"/>
        <w:spacing w:line="360" w:lineRule="auto"/>
        <w:ind w:firstLine="1"/>
        <w:rPr>
          <w:rFonts w:hint="default"/>
          <w:color w:val="auto"/>
          <w:highlight w:val="none"/>
        </w:rPr>
      </w:pPr>
      <w:r>
        <w:rPr>
          <w:rFonts w:hint="eastAsia"/>
          <w:color w:val="auto"/>
          <w:highlight w:val="none"/>
        </w:rPr>
        <w:t>交货地点：</w:t>
      </w:r>
      <w:r>
        <w:rPr>
          <w:rFonts w:hint="eastAsia" w:ascii="宋体" w:hAnsi="宋体" w:eastAsia="宋体" w:cs="宋体"/>
          <w:strike w:val="0"/>
          <w:dstrike w:val="0"/>
          <w:color w:val="auto"/>
          <w:sz w:val="24"/>
          <w:szCs w:val="24"/>
          <w:highlight w:val="none"/>
          <w:shd w:val="clear" w:color="auto" w:fill="FFFFFF"/>
          <w:lang w:val="en-US" w:eastAsia="zh-CN"/>
        </w:rPr>
        <w:t>供应商指定加油站。</w:t>
      </w:r>
    </w:p>
    <w:p w14:paraId="3C80B7D7">
      <w:pPr>
        <w:numPr>
          <w:ilvl w:val="0"/>
          <w:numId w:val="33"/>
        </w:numPr>
        <w:tabs>
          <w:tab w:val="left" w:pos="0"/>
        </w:tabs>
        <w:adjustRightInd w:val="0"/>
        <w:spacing w:line="360" w:lineRule="auto"/>
        <w:ind w:firstLine="1"/>
        <w:rPr>
          <w:rFonts w:hint="default"/>
          <w:color w:val="auto"/>
          <w:highlight w:val="none"/>
        </w:rPr>
      </w:pPr>
      <w:r>
        <w:rPr>
          <w:rFonts w:hint="eastAsia"/>
          <w:color w:val="auto"/>
          <w:highlight w:val="none"/>
        </w:rPr>
        <w:t xml:space="preserve">成交候选供应商数量为： </w:t>
      </w:r>
      <w:r>
        <w:rPr>
          <w:rFonts w:hint="eastAsia"/>
          <w:color w:val="auto"/>
          <w:highlight w:val="none"/>
          <w:lang w:val="en-US" w:eastAsia="zh-CN"/>
        </w:rPr>
        <w:t>位于‌北京大兴国际机场北京红线区域1家。</w:t>
      </w:r>
    </w:p>
    <w:p w14:paraId="514E98CB">
      <w:pPr>
        <w:pStyle w:val="119"/>
        <w:keepNext w:val="0"/>
        <w:keepLines w:val="0"/>
        <w:numPr>
          <w:ilvl w:val="0"/>
          <w:numId w:val="0"/>
        </w:numPr>
        <w:suppressLineNumbers w:val="0"/>
        <w:spacing w:before="0" w:beforeAutospacing="0" w:after="0" w:afterAutospacing="0" w:line="360" w:lineRule="auto"/>
        <w:ind w:left="426" w:leftChars="0" w:right="0" w:rightChars="0"/>
        <w:jc w:val="left"/>
        <w:rPr>
          <w:rFonts w:hint="default"/>
          <w:b/>
          <w:color w:val="auto"/>
          <w:highlight w:val="none"/>
        </w:rPr>
      </w:pPr>
      <w:r>
        <w:rPr>
          <w:rFonts w:hint="eastAsia"/>
          <w:color w:val="auto"/>
          <w:highlight w:val="none"/>
          <w:lang w:val="en-US" w:eastAsia="zh-CN"/>
        </w:rPr>
        <w:t>合同包2：</w:t>
      </w:r>
      <w:r>
        <w:rPr>
          <w:rFonts w:hint="eastAsia" w:ascii="宋体" w:hAnsi="宋体" w:eastAsia="宋体" w:cs="Arial"/>
          <w:b w:val="0"/>
          <w:color w:val="auto"/>
          <w:w w:val="100"/>
          <w:sz w:val="21"/>
          <w:szCs w:val="21"/>
          <w:highlight w:val="none"/>
          <w:lang w:val="en-US" w:eastAsia="zh-CN"/>
        </w:rPr>
        <w:t>厦航大兴机场基地</w:t>
      </w:r>
      <w:r>
        <w:rPr>
          <w:rFonts w:hint="eastAsia" w:ascii="宋体" w:hAnsi="宋体" w:eastAsia="宋体" w:cs="Arial"/>
          <w:b w:val="0"/>
          <w:color w:val="auto"/>
          <w:w w:val="100"/>
          <w:sz w:val="21"/>
          <w:szCs w:val="21"/>
          <w:highlight w:val="none"/>
        </w:rPr>
        <w:t>202</w:t>
      </w:r>
      <w:r>
        <w:rPr>
          <w:rFonts w:hint="eastAsia" w:ascii="宋体" w:hAnsi="宋体" w:eastAsia="宋体" w:cs="Arial"/>
          <w:b w:val="0"/>
          <w:color w:val="auto"/>
          <w:w w:val="100"/>
          <w:sz w:val="21"/>
          <w:szCs w:val="21"/>
          <w:highlight w:val="none"/>
          <w:lang w:val="en-US" w:eastAsia="zh-CN"/>
        </w:rPr>
        <w:t>6</w:t>
      </w:r>
      <w:r>
        <w:rPr>
          <w:rFonts w:hint="eastAsia" w:ascii="宋体" w:hAnsi="宋体" w:eastAsia="宋体" w:cs="Arial"/>
          <w:b w:val="0"/>
          <w:color w:val="auto"/>
          <w:w w:val="100"/>
          <w:sz w:val="21"/>
          <w:szCs w:val="21"/>
          <w:highlight w:val="none"/>
        </w:rPr>
        <w:t>年普通车油料采购</w:t>
      </w:r>
      <w:r>
        <w:rPr>
          <w:rFonts w:hint="eastAsia" w:cs="Arial"/>
          <w:b w:val="0"/>
          <w:color w:val="auto"/>
          <w:w w:val="100"/>
          <w:sz w:val="21"/>
          <w:szCs w:val="21"/>
          <w:highlight w:val="none"/>
          <w:lang w:val="en-US" w:eastAsia="zh-CN"/>
        </w:rPr>
        <w:t>-</w:t>
      </w:r>
      <w:r>
        <w:rPr>
          <w:rFonts w:hint="eastAsia" w:ascii="宋体" w:hAnsi="宋体" w:eastAsia="宋体" w:cs="Arial"/>
          <w:b w:val="0"/>
          <w:color w:val="auto"/>
          <w:w w:val="100"/>
          <w:sz w:val="21"/>
          <w:szCs w:val="21"/>
          <w:highlight w:val="none"/>
          <w:lang w:val="en-US" w:eastAsia="zh-CN"/>
        </w:rPr>
        <w:t>大兴机场</w:t>
      </w:r>
      <w:r>
        <w:rPr>
          <w:rFonts w:hint="eastAsia" w:ascii="宋体" w:hAnsi="宋体" w:eastAsia="宋体" w:cs="Arial"/>
          <w:b w:val="0"/>
          <w:color w:val="auto"/>
          <w:w w:val="100"/>
          <w:sz w:val="21"/>
          <w:szCs w:val="21"/>
          <w:highlight w:val="none"/>
        </w:rPr>
        <w:t>廊坊临空区</w:t>
      </w:r>
    </w:p>
    <w:p w14:paraId="378FD8BD">
      <w:pPr>
        <w:numPr>
          <w:ilvl w:val="0"/>
          <w:numId w:val="34"/>
        </w:numPr>
        <w:tabs>
          <w:tab w:val="left" w:pos="0"/>
        </w:tabs>
        <w:adjustRightInd w:val="0"/>
        <w:spacing w:line="360" w:lineRule="auto"/>
        <w:ind w:firstLine="1"/>
        <w:rPr>
          <w:rFonts w:hint="eastAsia" w:ascii="宋体" w:hAnsi="宋体" w:eastAsia="宋体" w:cs="宋体"/>
          <w:color w:val="auto"/>
          <w:sz w:val="24"/>
          <w:szCs w:val="24"/>
          <w:highlight w:val="none"/>
          <w:shd w:val="clear" w:color="auto" w:fill="FFFFFF"/>
        </w:rPr>
      </w:pPr>
      <w:r>
        <w:rPr>
          <w:rFonts w:hint="eastAsia" w:ascii="宋体" w:hAnsi="宋体" w:eastAsia="宋体" w:cs="宋体"/>
          <w:b w:val="0"/>
          <w:color w:val="auto"/>
          <w:sz w:val="24"/>
          <w:szCs w:val="24"/>
          <w:highlight w:val="none"/>
          <w:shd w:val="clear" w:color="auto" w:fill="FFFFFF"/>
          <w:lang w:val="en-US" w:eastAsia="zh-CN"/>
        </w:rPr>
        <w:t>合同期限：1年。</w:t>
      </w:r>
    </w:p>
    <w:p w14:paraId="17FAC5A7">
      <w:pPr>
        <w:numPr>
          <w:ilvl w:val="0"/>
          <w:numId w:val="34"/>
        </w:numPr>
        <w:tabs>
          <w:tab w:val="left" w:pos="0"/>
        </w:tabs>
        <w:adjustRightInd w:val="0"/>
        <w:spacing w:line="360" w:lineRule="auto"/>
        <w:ind w:firstLine="1"/>
        <w:rPr>
          <w:rFonts w:hint="default"/>
          <w:color w:val="auto"/>
          <w:highlight w:val="none"/>
        </w:rPr>
      </w:pPr>
      <w:r>
        <w:rPr>
          <w:rFonts w:hint="eastAsia"/>
          <w:color w:val="auto"/>
          <w:highlight w:val="none"/>
        </w:rPr>
        <w:t>交货地点：</w:t>
      </w:r>
      <w:r>
        <w:rPr>
          <w:rFonts w:hint="eastAsia" w:ascii="宋体" w:hAnsi="宋体" w:eastAsia="宋体" w:cs="宋体"/>
          <w:strike w:val="0"/>
          <w:dstrike w:val="0"/>
          <w:color w:val="auto"/>
          <w:sz w:val="24"/>
          <w:szCs w:val="24"/>
          <w:highlight w:val="none"/>
          <w:shd w:val="clear" w:color="auto" w:fill="FFFFFF"/>
          <w:lang w:val="en-US" w:eastAsia="zh-CN"/>
        </w:rPr>
        <w:t>供应商指定加油站。</w:t>
      </w:r>
    </w:p>
    <w:p w14:paraId="693D8F73">
      <w:pPr>
        <w:numPr>
          <w:ilvl w:val="0"/>
          <w:numId w:val="34"/>
        </w:numPr>
        <w:tabs>
          <w:tab w:val="left" w:pos="0"/>
        </w:tabs>
        <w:adjustRightInd w:val="0"/>
        <w:spacing w:line="360" w:lineRule="auto"/>
        <w:ind w:firstLine="1"/>
        <w:rPr>
          <w:rFonts w:hint="default"/>
          <w:color w:val="auto"/>
          <w:highlight w:val="none"/>
        </w:rPr>
      </w:pPr>
      <w:r>
        <w:rPr>
          <w:rFonts w:hint="eastAsia"/>
          <w:color w:val="auto"/>
          <w:highlight w:val="none"/>
        </w:rPr>
        <w:t>成交候选供应商数量为：</w:t>
      </w:r>
      <w:r>
        <w:rPr>
          <w:rFonts w:hint="eastAsia"/>
          <w:color w:val="auto"/>
          <w:highlight w:val="none"/>
          <w:lang w:val="en-US" w:eastAsia="zh-CN"/>
        </w:rPr>
        <w:t>位于‌北京大兴国际机场临空经济区廊坊片区1家。</w:t>
      </w:r>
    </w:p>
    <w:p w14:paraId="763DBF8A">
      <w:pPr>
        <w:pStyle w:val="2"/>
        <w:rPr>
          <w:highlight w:val="none"/>
        </w:rPr>
      </w:pPr>
    </w:p>
    <w:p w14:paraId="1C6DCD57">
      <w:pPr>
        <w:pStyle w:val="76"/>
        <w:numPr>
          <w:ilvl w:val="0"/>
          <w:numId w:val="30"/>
        </w:numPr>
        <w:tabs>
          <w:tab w:val="left" w:pos="709"/>
        </w:tabs>
        <w:ind w:left="425" w:hanging="425" w:firstLineChars="0"/>
        <w:rPr>
          <w:rFonts w:hint="eastAsia" w:ascii="黑体" w:hAnsi="黑体" w:eastAsia="黑体" w:cs="黑体"/>
          <w:b/>
          <w:bCs w:val="0"/>
          <w:color w:val="auto"/>
          <w:sz w:val="28"/>
          <w:szCs w:val="28"/>
          <w:highlight w:val="none"/>
        </w:rPr>
      </w:pPr>
      <w:r>
        <w:rPr>
          <w:rFonts w:hint="eastAsia" w:ascii="黑体" w:hAnsi="黑体" w:eastAsia="黑体" w:cs="黑体"/>
          <w:b/>
          <w:bCs w:val="0"/>
          <w:color w:val="auto"/>
          <w:sz w:val="28"/>
          <w:szCs w:val="28"/>
          <w:highlight w:val="none"/>
        </w:rPr>
        <w:t>质量要求及售后服务</w:t>
      </w:r>
    </w:p>
    <w:p w14:paraId="6D765AD3">
      <w:pPr>
        <w:pStyle w:val="34"/>
        <w:widowControl/>
        <w:numPr>
          <w:ilvl w:val="-1"/>
          <w:numId w:val="0"/>
        </w:numPr>
        <w:shd w:val="clear" w:color="auto" w:fill="FFFFFF"/>
        <w:spacing w:beforeAutospacing="0" w:afterAutospacing="0" w:line="360" w:lineRule="auto"/>
        <w:ind w:left="0" w:firstLine="480" w:firstLineChars="200"/>
        <w:jc w:val="both"/>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采购人</w:t>
      </w:r>
      <w:r>
        <w:rPr>
          <w:rFonts w:ascii="宋体" w:hAnsi="宋体"/>
          <w:color w:val="auto"/>
          <w:szCs w:val="21"/>
          <w:highlight w:val="none"/>
        </w:rPr>
        <w:t>车辆疑因</w:t>
      </w:r>
      <w:r>
        <w:rPr>
          <w:rFonts w:hint="eastAsia" w:ascii="宋体" w:hAnsi="宋体"/>
          <w:color w:val="auto"/>
          <w:szCs w:val="21"/>
          <w:highlight w:val="none"/>
          <w:lang w:val="en-US" w:eastAsia="zh-CN"/>
        </w:rPr>
        <w:t>供应商</w:t>
      </w:r>
      <w:r>
        <w:rPr>
          <w:rFonts w:ascii="宋体" w:hAnsi="宋体"/>
          <w:color w:val="auto"/>
          <w:szCs w:val="21"/>
          <w:highlight w:val="none"/>
        </w:rPr>
        <w:t>油品质量问题发生故障时，</w:t>
      </w:r>
      <w:r>
        <w:rPr>
          <w:rFonts w:hint="eastAsia" w:ascii="宋体" w:hAnsi="宋体"/>
          <w:color w:val="auto"/>
          <w:szCs w:val="21"/>
          <w:highlight w:val="none"/>
        </w:rPr>
        <w:t>有权在故障出现后二十四（24）小时内但不超过加油后四十八（48）小时内向</w:t>
      </w:r>
      <w:r>
        <w:rPr>
          <w:rFonts w:hint="eastAsia" w:ascii="宋体" w:hAnsi="宋体"/>
          <w:color w:val="auto"/>
          <w:szCs w:val="21"/>
          <w:highlight w:val="none"/>
          <w:lang w:val="en-US" w:eastAsia="zh-CN"/>
        </w:rPr>
        <w:t>供应商</w:t>
      </w:r>
      <w:r>
        <w:rPr>
          <w:rFonts w:hint="eastAsia" w:ascii="宋体" w:hAnsi="宋体"/>
          <w:color w:val="auto"/>
          <w:szCs w:val="21"/>
          <w:highlight w:val="none"/>
        </w:rPr>
        <w:t>出具书面异议，要求</w:t>
      </w:r>
      <w:r>
        <w:rPr>
          <w:rFonts w:hint="eastAsia" w:ascii="宋体" w:hAnsi="宋体"/>
          <w:color w:val="auto"/>
          <w:szCs w:val="21"/>
          <w:highlight w:val="none"/>
          <w:lang w:val="en-US" w:eastAsia="zh-CN"/>
        </w:rPr>
        <w:t>供应商</w:t>
      </w:r>
      <w:r>
        <w:rPr>
          <w:rFonts w:hint="eastAsia" w:ascii="宋体" w:hAnsi="宋体"/>
          <w:color w:val="auto"/>
          <w:szCs w:val="21"/>
          <w:highlight w:val="none"/>
        </w:rPr>
        <w:t>提供油样，由双方共同确认油样并封存后交由双方确定的市场监督管理部门认可且具有相应资质的检验机构检测。检测费用由</w:t>
      </w:r>
      <w:r>
        <w:rPr>
          <w:rFonts w:hint="eastAsia" w:ascii="宋体" w:hAnsi="宋体" w:eastAsia="宋体" w:cs="宋体"/>
          <w:color w:val="auto"/>
          <w:sz w:val="24"/>
          <w:szCs w:val="24"/>
          <w:highlight w:val="none"/>
          <w:shd w:val="clear" w:color="auto" w:fill="FFFFFF"/>
          <w:lang w:val="en-US" w:eastAsia="zh-CN"/>
        </w:rPr>
        <w:t>采购人</w:t>
      </w:r>
      <w:r>
        <w:rPr>
          <w:rFonts w:hint="eastAsia" w:ascii="宋体" w:hAnsi="宋体"/>
          <w:color w:val="auto"/>
          <w:szCs w:val="21"/>
          <w:highlight w:val="none"/>
        </w:rPr>
        <w:t>垫付。如检测结果为合格，检测费用由</w:t>
      </w:r>
      <w:r>
        <w:rPr>
          <w:rFonts w:hint="eastAsia" w:ascii="宋体" w:hAnsi="宋体" w:eastAsia="宋体" w:cs="宋体"/>
          <w:color w:val="auto"/>
          <w:sz w:val="24"/>
          <w:szCs w:val="24"/>
          <w:highlight w:val="none"/>
          <w:shd w:val="clear" w:color="auto" w:fill="FFFFFF"/>
          <w:lang w:val="en-US" w:eastAsia="zh-CN"/>
        </w:rPr>
        <w:t>采购人</w:t>
      </w:r>
      <w:r>
        <w:rPr>
          <w:rFonts w:hint="eastAsia" w:ascii="宋体" w:hAnsi="宋体"/>
          <w:color w:val="auto"/>
          <w:szCs w:val="21"/>
          <w:highlight w:val="none"/>
        </w:rPr>
        <w:t>支付；如检测结果为不合格，检测费用由</w:t>
      </w:r>
      <w:r>
        <w:rPr>
          <w:rFonts w:hint="eastAsia" w:ascii="宋体" w:hAnsi="宋体"/>
          <w:color w:val="auto"/>
          <w:szCs w:val="21"/>
          <w:highlight w:val="none"/>
          <w:lang w:val="en-US" w:eastAsia="zh-CN"/>
        </w:rPr>
        <w:t>供应商</w:t>
      </w:r>
      <w:r>
        <w:rPr>
          <w:rFonts w:hint="eastAsia" w:ascii="宋体" w:hAnsi="宋体"/>
          <w:color w:val="auto"/>
          <w:szCs w:val="21"/>
          <w:highlight w:val="none"/>
        </w:rPr>
        <w:t>支付</w:t>
      </w:r>
      <w:r>
        <w:rPr>
          <w:rFonts w:ascii="宋体" w:hAnsi="宋体"/>
          <w:color w:val="auto"/>
          <w:szCs w:val="21"/>
          <w:highlight w:val="none"/>
        </w:rPr>
        <w:t>,</w:t>
      </w:r>
      <w:r>
        <w:rPr>
          <w:rFonts w:hint="eastAsia" w:ascii="宋体" w:hAnsi="宋体"/>
          <w:color w:val="auto"/>
          <w:szCs w:val="21"/>
          <w:highlight w:val="none"/>
        </w:rPr>
        <w:t>且</w:t>
      </w:r>
      <w:r>
        <w:rPr>
          <w:rFonts w:hint="eastAsia" w:ascii="宋体" w:hAnsi="宋体"/>
          <w:color w:val="auto"/>
          <w:szCs w:val="21"/>
          <w:highlight w:val="none"/>
          <w:lang w:val="en-US" w:eastAsia="zh-CN"/>
        </w:rPr>
        <w:t>供应商</w:t>
      </w:r>
      <w:r>
        <w:rPr>
          <w:rFonts w:hint="eastAsia" w:ascii="宋体" w:hAnsi="宋体"/>
          <w:color w:val="auto"/>
          <w:szCs w:val="21"/>
          <w:highlight w:val="none"/>
        </w:rPr>
        <w:t>应当承担因油品质量问题而给</w:t>
      </w:r>
      <w:r>
        <w:rPr>
          <w:rFonts w:hint="eastAsia" w:ascii="宋体" w:hAnsi="宋体" w:eastAsia="宋体" w:cs="宋体"/>
          <w:color w:val="auto"/>
          <w:sz w:val="24"/>
          <w:szCs w:val="24"/>
          <w:highlight w:val="none"/>
          <w:shd w:val="clear" w:color="auto" w:fill="FFFFFF"/>
          <w:lang w:val="en-US" w:eastAsia="zh-CN"/>
        </w:rPr>
        <w:t>采购人</w:t>
      </w:r>
      <w:r>
        <w:rPr>
          <w:rFonts w:hint="eastAsia" w:ascii="宋体" w:hAnsi="宋体"/>
          <w:color w:val="auto"/>
          <w:szCs w:val="21"/>
          <w:highlight w:val="none"/>
        </w:rPr>
        <w:t>造成的损失。</w:t>
      </w:r>
      <w:r>
        <w:rPr>
          <w:rFonts w:hint="eastAsia" w:ascii="宋体" w:hAnsi="宋体" w:eastAsia="宋体" w:cs="宋体"/>
          <w:color w:val="auto"/>
          <w:sz w:val="24"/>
          <w:szCs w:val="24"/>
          <w:highlight w:val="none"/>
          <w:shd w:val="clear" w:color="auto" w:fill="FFFFFF"/>
          <w:lang w:val="en-US" w:eastAsia="zh-CN"/>
        </w:rPr>
        <w:t>采购人</w:t>
      </w:r>
      <w:r>
        <w:rPr>
          <w:rFonts w:hint="eastAsia" w:ascii="宋体" w:hAnsi="宋体"/>
          <w:color w:val="auto"/>
          <w:szCs w:val="21"/>
          <w:highlight w:val="none"/>
        </w:rPr>
        <w:t>未在上述期限内提出异议的，视为</w:t>
      </w:r>
      <w:r>
        <w:rPr>
          <w:rFonts w:hint="eastAsia" w:ascii="宋体" w:hAnsi="宋体"/>
          <w:color w:val="auto"/>
          <w:szCs w:val="21"/>
          <w:highlight w:val="none"/>
          <w:lang w:val="en-US" w:eastAsia="zh-CN"/>
        </w:rPr>
        <w:t>供应商</w:t>
      </w:r>
      <w:r>
        <w:rPr>
          <w:rFonts w:hint="eastAsia" w:ascii="宋体" w:hAnsi="宋体"/>
          <w:color w:val="auto"/>
          <w:szCs w:val="21"/>
          <w:highlight w:val="none"/>
        </w:rPr>
        <w:t>所供油品符合质量标准及</w:t>
      </w:r>
      <w:r>
        <w:rPr>
          <w:rFonts w:hint="eastAsia" w:ascii="宋体" w:hAnsi="宋体" w:eastAsia="宋体" w:cs="宋体"/>
          <w:color w:val="auto"/>
          <w:sz w:val="24"/>
          <w:szCs w:val="24"/>
          <w:highlight w:val="none"/>
          <w:shd w:val="clear" w:color="auto" w:fill="FFFFFF"/>
          <w:lang w:val="en-US" w:eastAsia="zh-CN"/>
        </w:rPr>
        <w:t>采购人</w:t>
      </w:r>
      <w:r>
        <w:rPr>
          <w:rFonts w:hint="eastAsia" w:ascii="宋体" w:hAnsi="宋体"/>
          <w:color w:val="auto"/>
          <w:szCs w:val="21"/>
          <w:highlight w:val="none"/>
        </w:rPr>
        <w:t>要求。</w:t>
      </w:r>
    </w:p>
    <w:p w14:paraId="2AE59393">
      <w:pPr>
        <w:pStyle w:val="76"/>
        <w:numPr>
          <w:ilvl w:val="0"/>
          <w:numId w:val="30"/>
        </w:numPr>
        <w:tabs>
          <w:tab w:val="left" w:pos="709"/>
        </w:tabs>
        <w:ind w:left="425" w:hanging="425" w:firstLineChars="0"/>
        <w:rPr>
          <w:rFonts w:hint="eastAsia" w:ascii="黑体" w:hAnsi="黑体" w:eastAsia="黑体" w:cs="黑体"/>
          <w:b/>
          <w:bCs w:val="0"/>
          <w:color w:val="auto"/>
          <w:sz w:val="28"/>
          <w:szCs w:val="28"/>
          <w:highlight w:val="none"/>
          <w:lang w:val="en-US" w:eastAsia="zh-CN"/>
        </w:rPr>
      </w:pPr>
      <w:r>
        <w:rPr>
          <w:rFonts w:hint="eastAsia" w:ascii="黑体" w:hAnsi="黑体" w:eastAsia="黑体" w:cs="黑体"/>
          <w:b/>
          <w:bCs w:val="0"/>
          <w:color w:val="auto"/>
          <w:sz w:val="28"/>
          <w:szCs w:val="28"/>
          <w:highlight w:val="none"/>
          <w:lang w:val="en-US" w:eastAsia="zh-CN"/>
        </w:rPr>
        <w:t>结算条款</w:t>
      </w:r>
    </w:p>
    <w:p w14:paraId="2F8D17D6">
      <w:pPr>
        <w:numPr>
          <w:ilvl w:val="0"/>
          <w:numId w:val="35"/>
        </w:numPr>
        <w:tabs>
          <w:tab w:val="left" w:pos="284"/>
        </w:tabs>
        <w:spacing w:line="360" w:lineRule="auto"/>
        <w:ind w:left="0" w:firstLine="480" w:firstLineChars="200"/>
        <w:rPr>
          <w:rFonts w:cs="Times New Roman"/>
          <w:color w:val="auto"/>
          <w:kern w:val="0"/>
          <w:highlight w:val="none"/>
        </w:rPr>
      </w:pPr>
      <w:r>
        <w:rPr>
          <w:rFonts w:hint="eastAsia" w:ascii="宋体" w:hAnsi="宋体" w:eastAsia="宋体" w:cs="宋体"/>
          <w:color w:val="auto"/>
          <w:kern w:val="0"/>
          <w:sz w:val="24"/>
          <w:szCs w:val="24"/>
          <w:highlight w:val="none"/>
          <w:shd w:val="clear" w:color="auto" w:fill="FFFFFF"/>
          <w:lang w:val="en-US" w:eastAsia="zh-CN" w:bidi="ar-SA"/>
        </w:rPr>
        <w:t>采购人通过预付款形式在供应商处办理加油卡充值，预付款到账后，供应商为采购人进行充值卡充值。每次加油完毕，供应商在加油卡中扣除相应金额。</w:t>
      </w:r>
    </w:p>
    <w:p w14:paraId="37A7AD01">
      <w:pPr>
        <w:numPr>
          <w:ilvl w:val="0"/>
          <w:numId w:val="35"/>
        </w:numPr>
        <w:tabs>
          <w:tab w:val="left" w:pos="284"/>
        </w:tabs>
        <w:spacing w:line="360" w:lineRule="auto"/>
        <w:ind w:left="0" w:firstLine="480" w:firstLineChars="200"/>
        <w:rPr>
          <w:rFonts w:cs="Times New Roman"/>
          <w:color w:val="auto"/>
          <w:kern w:val="0"/>
          <w:highlight w:val="none"/>
        </w:rPr>
      </w:pP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必须提供符合中华人民共和国国家税务规定的全额增值税专用发票，并在发票开具之日起十日内将增值税专用发票送达</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。若</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无法提供增值税专用发票或因</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原因造成发票无法认证成功，导致</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无法抵扣进项税额，</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应全额赔偿</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损失。</w:t>
      </w:r>
    </w:p>
    <w:p w14:paraId="1B046893">
      <w:pPr>
        <w:numPr>
          <w:ilvl w:val="0"/>
          <w:numId w:val="35"/>
        </w:numPr>
        <w:tabs>
          <w:tab w:val="left" w:pos="284"/>
        </w:tabs>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合同价格标准列明含税价。在合同履行期间如遇国家的税率调整，则价税合计相应调整，以发票开具的日期为准。</w:t>
      </w:r>
    </w:p>
    <w:p w14:paraId="412F8496">
      <w:pPr>
        <w:pStyle w:val="2"/>
        <w:rPr>
          <w:rFonts w:hint="eastAsia" w:ascii="宋体" w:hAnsi="宋体" w:cs="宋体"/>
          <w:color w:val="auto"/>
          <w:sz w:val="21"/>
          <w:highlight w:val="none"/>
        </w:rPr>
      </w:pPr>
    </w:p>
    <w:p w14:paraId="6CF97DCE">
      <w:pPr>
        <w:pStyle w:val="2"/>
        <w:rPr>
          <w:rFonts w:hint="eastAsia" w:ascii="宋体" w:hAnsi="宋体" w:cs="宋体"/>
          <w:color w:val="auto"/>
          <w:sz w:val="21"/>
          <w:highlight w:val="none"/>
        </w:rPr>
      </w:pPr>
    </w:p>
    <w:p w14:paraId="3A8F8C7F">
      <w:pPr>
        <w:pStyle w:val="3"/>
        <w:keepNext w:val="0"/>
        <w:keepLines w:val="0"/>
        <w:spacing w:before="120" w:after="120" w:line="240" w:lineRule="auto"/>
        <w:ind w:firstLine="885"/>
        <w:jc w:val="center"/>
        <w:rPr>
          <w:color w:val="auto"/>
          <w:sz w:val="36"/>
          <w:szCs w:val="36"/>
          <w:highlight w:val="none"/>
        </w:rPr>
      </w:pPr>
      <w:r>
        <w:rPr>
          <w:rFonts w:hint="eastAsia"/>
          <w:color w:val="auto"/>
          <w:sz w:val="36"/>
          <w:szCs w:val="36"/>
          <w:highlight w:val="none"/>
        </w:rPr>
        <w:t>第四部分</w:t>
      </w:r>
      <w:r>
        <w:rPr>
          <w:color w:val="auto"/>
          <w:sz w:val="36"/>
          <w:szCs w:val="36"/>
          <w:highlight w:val="none"/>
        </w:rPr>
        <w:t xml:space="preserve">  </w:t>
      </w:r>
      <w:r>
        <w:rPr>
          <w:rFonts w:hint="eastAsia"/>
          <w:color w:val="auto"/>
          <w:sz w:val="36"/>
          <w:szCs w:val="36"/>
          <w:highlight w:val="none"/>
        </w:rPr>
        <w:t>部分合同条款</w:t>
      </w:r>
    </w:p>
    <w:p w14:paraId="24E0B2B1">
      <w:pPr>
        <w:pStyle w:val="76"/>
        <w:numPr>
          <w:ilvl w:val="0"/>
          <w:numId w:val="36"/>
        </w:numPr>
        <w:tabs>
          <w:tab w:val="left" w:pos="1134"/>
        </w:tabs>
        <w:ind w:hanging="284" w:firstLineChars="0"/>
        <w:rPr>
          <w:rFonts w:ascii="黑体" w:hAnsi="黑体" w:eastAsia="黑体" w:cs="仿宋"/>
          <w:b w:val="0"/>
          <w:color w:val="auto"/>
          <w:sz w:val="28"/>
          <w:szCs w:val="28"/>
          <w:highlight w:val="none"/>
        </w:rPr>
      </w:pPr>
      <w:r>
        <w:rPr>
          <w:rFonts w:hint="eastAsia" w:ascii="黑体" w:hAnsi="黑体" w:eastAsia="黑体" w:cs="仿宋"/>
          <w:b w:val="0"/>
          <w:color w:val="auto"/>
          <w:sz w:val="28"/>
          <w:szCs w:val="28"/>
          <w:highlight w:val="none"/>
        </w:rPr>
        <w:t>结算条款</w:t>
      </w:r>
    </w:p>
    <w:p w14:paraId="026B318C">
      <w:pPr>
        <w:spacing w:line="560" w:lineRule="exact"/>
        <w:ind w:firstLine="420" w:firstLineChars="200"/>
        <w:rPr>
          <w:rFonts w:hint="eastAsia" w:ascii="宋体" w:hAnsi="宋体"/>
          <w:color w:val="auto"/>
          <w:szCs w:val="21"/>
          <w:highlight w:val="none"/>
        </w:rPr>
      </w:pPr>
      <w:r>
        <w:rPr>
          <w:rFonts w:hint="eastAsia" w:cs="Times New Roman"/>
          <w:color w:val="auto"/>
          <w:kern w:val="0"/>
          <w:highlight w:val="none"/>
          <w:lang w:val="en-US" w:eastAsia="zh-CN"/>
        </w:rPr>
        <w:t>1.</w:t>
      </w:r>
      <w:r>
        <w:rPr>
          <w:rFonts w:hint="eastAsia" w:ascii="宋体" w:hAnsi="宋体"/>
          <w:color w:val="auto"/>
          <w:szCs w:val="21"/>
          <w:highlight w:val="none"/>
        </w:rPr>
        <w:t xml:space="preserve"> </w:t>
      </w:r>
      <w:r>
        <w:rPr>
          <w:rFonts w:hint="eastAsia" w:cs="Times New Roman"/>
          <w:color w:val="auto"/>
          <w:kern w:val="0"/>
          <w:highlight w:val="none"/>
          <w:lang w:eastAsia="zh-CN"/>
        </w:rPr>
        <w:t>采购人</w:t>
      </w:r>
      <w:r>
        <w:rPr>
          <w:rFonts w:hint="eastAsia" w:ascii="宋体" w:hAnsi="宋体"/>
          <w:color w:val="auto"/>
          <w:szCs w:val="21"/>
          <w:highlight w:val="none"/>
        </w:rPr>
        <w:t>通过预付款形式在</w:t>
      </w:r>
      <w:r>
        <w:rPr>
          <w:rFonts w:hint="eastAsia" w:ascii="宋体" w:hAnsi="宋体"/>
          <w:color w:val="auto"/>
          <w:szCs w:val="21"/>
          <w:highlight w:val="none"/>
          <w:lang w:eastAsia="zh-CN"/>
        </w:rPr>
        <w:t>供应商</w:t>
      </w:r>
      <w:r>
        <w:rPr>
          <w:rFonts w:hint="eastAsia" w:ascii="宋体" w:hAnsi="宋体"/>
          <w:color w:val="auto"/>
          <w:szCs w:val="21"/>
          <w:highlight w:val="none"/>
        </w:rPr>
        <w:t>办理加油卡充值加油，预付款到账后，</w:t>
      </w:r>
      <w:r>
        <w:rPr>
          <w:rFonts w:hint="eastAsia" w:ascii="宋体" w:hAnsi="宋体"/>
          <w:color w:val="auto"/>
          <w:szCs w:val="21"/>
          <w:highlight w:val="none"/>
          <w:lang w:eastAsia="zh-CN"/>
        </w:rPr>
        <w:t>供应商</w:t>
      </w:r>
      <w:r>
        <w:rPr>
          <w:rFonts w:hint="eastAsia" w:ascii="宋体" w:hAnsi="宋体"/>
          <w:color w:val="auto"/>
          <w:szCs w:val="21"/>
          <w:highlight w:val="none"/>
        </w:rPr>
        <w:t>为</w:t>
      </w:r>
      <w:r>
        <w:rPr>
          <w:rFonts w:hint="eastAsia" w:cs="Times New Roman"/>
          <w:color w:val="auto"/>
          <w:kern w:val="0"/>
          <w:highlight w:val="none"/>
          <w:lang w:eastAsia="zh-CN"/>
        </w:rPr>
        <w:t>采购人</w:t>
      </w:r>
      <w:r>
        <w:rPr>
          <w:rFonts w:hint="eastAsia" w:ascii="宋体" w:hAnsi="宋体"/>
          <w:color w:val="auto"/>
          <w:szCs w:val="21"/>
          <w:highlight w:val="none"/>
        </w:rPr>
        <w:t>进行加油卡充值。每次加油完成，</w:t>
      </w:r>
      <w:r>
        <w:rPr>
          <w:rFonts w:hint="eastAsia" w:ascii="宋体" w:hAnsi="宋体"/>
          <w:color w:val="auto"/>
          <w:szCs w:val="21"/>
          <w:highlight w:val="none"/>
          <w:lang w:eastAsia="zh-CN"/>
        </w:rPr>
        <w:t>供应商</w:t>
      </w:r>
      <w:r>
        <w:rPr>
          <w:rFonts w:hint="eastAsia" w:ascii="宋体" w:hAnsi="宋体"/>
          <w:color w:val="auto"/>
          <w:szCs w:val="21"/>
          <w:highlight w:val="none"/>
        </w:rPr>
        <w:t>在加油卡中扣除相应金额。当</w:t>
      </w:r>
      <w:r>
        <w:rPr>
          <w:rFonts w:hint="eastAsia" w:cs="Times New Roman"/>
          <w:color w:val="auto"/>
          <w:kern w:val="0"/>
          <w:highlight w:val="none"/>
          <w:lang w:eastAsia="zh-CN"/>
        </w:rPr>
        <w:t>采购人</w:t>
      </w:r>
      <w:r>
        <w:rPr>
          <w:rFonts w:hint="eastAsia" w:ascii="宋体" w:hAnsi="宋体"/>
          <w:color w:val="auto"/>
          <w:szCs w:val="21"/>
          <w:highlight w:val="none"/>
        </w:rPr>
        <w:t>加油卡余额不足以支付当次油款时，</w:t>
      </w:r>
      <w:r>
        <w:rPr>
          <w:rFonts w:hint="eastAsia" w:ascii="宋体" w:hAnsi="宋体"/>
          <w:color w:val="auto"/>
          <w:szCs w:val="21"/>
          <w:highlight w:val="none"/>
          <w:lang w:eastAsia="zh-CN"/>
        </w:rPr>
        <w:t>供应商</w:t>
      </w:r>
      <w:r>
        <w:rPr>
          <w:rFonts w:hint="eastAsia" w:ascii="宋体" w:hAnsi="宋体"/>
          <w:color w:val="auto"/>
          <w:szCs w:val="21"/>
          <w:highlight w:val="none"/>
        </w:rPr>
        <w:t>有权停止为</w:t>
      </w:r>
      <w:r>
        <w:rPr>
          <w:rFonts w:hint="eastAsia" w:cs="Times New Roman"/>
          <w:color w:val="auto"/>
          <w:kern w:val="0"/>
          <w:highlight w:val="none"/>
          <w:lang w:eastAsia="zh-CN"/>
        </w:rPr>
        <w:t>采购人</w:t>
      </w:r>
      <w:r>
        <w:rPr>
          <w:rFonts w:hint="eastAsia" w:ascii="宋体" w:hAnsi="宋体"/>
          <w:color w:val="auto"/>
          <w:szCs w:val="21"/>
          <w:highlight w:val="none"/>
        </w:rPr>
        <w:t>提供加油服务。</w:t>
      </w:r>
    </w:p>
    <w:p w14:paraId="07D562DC">
      <w:pPr>
        <w:spacing w:line="560" w:lineRule="exact"/>
        <w:ind w:firstLine="420" w:firstLineChars="200"/>
        <w:rPr>
          <w:rFonts w:ascii="宋体" w:hAnsi="宋体" w:cs="宋体"/>
          <w:color w:val="auto"/>
          <w:sz w:val="24"/>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供应商</w:t>
      </w:r>
      <w:r>
        <w:rPr>
          <w:rFonts w:hint="eastAsia" w:ascii="宋体" w:hAnsi="宋体"/>
          <w:color w:val="auto"/>
          <w:szCs w:val="21"/>
          <w:highlight w:val="none"/>
          <w:shd w:val="clear" w:color="auto" w:fill="FFFFFF"/>
        </w:rPr>
        <w:t>根据</w:t>
      </w:r>
      <w:r>
        <w:rPr>
          <w:rFonts w:hint="eastAsia" w:cs="Times New Roman"/>
          <w:color w:val="auto"/>
          <w:kern w:val="0"/>
          <w:highlight w:val="none"/>
          <w:lang w:eastAsia="zh-CN"/>
        </w:rPr>
        <w:t>采购人</w:t>
      </w:r>
      <w:r>
        <w:rPr>
          <w:rFonts w:hint="eastAsia" w:ascii="宋体" w:hAnsi="宋体"/>
          <w:color w:val="auto"/>
          <w:szCs w:val="21"/>
          <w:highlight w:val="none"/>
          <w:shd w:val="clear" w:color="auto" w:fill="FFFFFF"/>
        </w:rPr>
        <w:t>在北京区域加油站实际加油量和价格开具合法的增值税专用发票给</w:t>
      </w:r>
      <w:r>
        <w:rPr>
          <w:rFonts w:hint="eastAsia" w:cs="Times New Roman"/>
          <w:color w:val="auto"/>
          <w:kern w:val="0"/>
          <w:highlight w:val="none"/>
          <w:lang w:eastAsia="zh-CN"/>
        </w:rPr>
        <w:t>采购人</w:t>
      </w:r>
      <w:r>
        <w:rPr>
          <w:rFonts w:hint="eastAsia" w:ascii="宋体" w:hAnsi="宋体"/>
          <w:color w:val="auto"/>
          <w:szCs w:val="21"/>
          <w:highlight w:val="none"/>
          <w:shd w:val="clear" w:color="auto" w:fill="FFFFFF"/>
        </w:rPr>
        <w:t>。</w:t>
      </w:r>
      <w:r>
        <w:rPr>
          <w:rFonts w:hint="eastAsia" w:ascii="宋体" w:hAnsi="宋体"/>
          <w:color w:val="auto"/>
          <w:highlight w:val="none"/>
        </w:rPr>
        <w:t>目前执行的增值税税率为【13%】，如遇国家或地方税收政策调整，发票税率应与国家税改政策一致。</w:t>
      </w:r>
    </w:p>
    <w:p w14:paraId="2F515874">
      <w:pPr>
        <w:numPr>
          <w:ilvl w:val="-1"/>
          <w:numId w:val="0"/>
        </w:numPr>
        <w:tabs>
          <w:tab w:val="left" w:pos="284"/>
        </w:tabs>
        <w:spacing w:line="360" w:lineRule="auto"/>
        <w:ind w:left="420" w:leftChars="200" w:firstLine="0" w:firstLineChars="0"/>
        <w:rPr>
          <w:rFonts w:cs="Times New Roman"/>
          <w:color w:val="auto"/>
          <w:kern w:val="0"/>
          <w:highlight w:val="none"/>
        </w:rPr>
      </w:pPr>
    </w:p>
    <w:p w14:paraId="7004321A">
      <w:pPr>
        <w:pStyle w:val="76"/>
        <w:numPr>
          <w:ilvl w:val="0"/>
          <w:numId w:val="36"/>
        </w:numPr>
        <w:tabs>
          <w:tab w:val="left" w:pos="1134"/>
        </w:tabs>
        <w:ind w:hanging="284" w:firstLineChars="0"/>
        <w:rPr>
          <w:rFonts w:hint="eastAsia" w:ascii="黑体" w:hAnsi="黑体" w:eastAsia="黑体" w:cs="仿宋"/>
          <w:b w:val="0"/>
          <w:color w:val="auto"/>
          <w:sz w:val="28"/>
          <w:szCs w:val="28"/>
          <w:highlight w:val="none"/>
        </w:rPr>
      </w:pPr>
      <w:r>
        <w:rPr>
          <w:rFonts w:hint="eastAsia" w:ascii="黑体" w:hAnsi="黑体" w:eastAsia="黑体" w:cs="仿宋"/>
          <w:b w:val="0"/>
          <w:color w:val="auto"/>
          <w:sz w:val="28"/>
          <w:szCs w:val="28"/>
          <w:highlight w:val="none"/>
        </w:rPr>
        <w:t>违约责任</w:t>
      </w:r>
    </w:p>
    <w:p w14:paraId="1E76C31F">
      <w:pPr>
        <w:spacing w:line="360" w:lineRule="auto"/>
        <w:ind w:firstLine="435"/>
        <w:rPr>
          <w:rFonts w:ascii="宋体" w:hAnsi="宋体"/>
          <w:color w:val="auto"/>
          <w:szCs w:val="21"/>
          <w:highlight w:val="none"/>
        </w:rPr>
      </w:pPr>
      <w:r>
        <w:rPr>
          <w:rFonts w:ascii="宋体" w:hAnsi="宋体"/>
          <w:color w:val="auto"/>
          <w:szCs w:val="21"/>
          <w:highlight w:val="none"/>
        </w:rPr>
        <w:t>1.本协议任何一方违约的，应赔偿由此给守约方造成的经济损失。同时，守约方有权要求违约方积极采取补救措施减少损害并继续履行本协议。</w:t>
      </w:r>
    </w:p>
    <w:p w14:paraId="765E6F59">
      <w:pPr>
        <w:spacing w:line="360" w:lineRule="auto"/>
        <w:ind w:firstLine="435"/>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hint="eastAsia" w:ascii="宋体" w:hAnsi="宋体"/>
          <w:color w:val="auto"/>
          <w:szCs w:val="21"/>
          <w:highlight w:val="none"/>
        </w:rPr>
        <w:t>在履行本协议过程中，由于</w:t>
      </w:r>
      <w:r>
        <w:rPr>
          <w:rFonts w:hint="eastAsia" w:ascii="宋体" w:hAnsi="宋体"/>
          <w:color w:val="auto"/>
          <w:szCs w:val="21"/>
          <w:highlight w:val="none"/>
          <w:lang w:eastAsia="zh-CN"/>
        </w:rPr>
        <w:t>供应商</w:t>
      </w:r>
      <w:r>
        <w:rPr>
          <w:rFonts w:hint="eastAsia" w:ascii="宋体" w:hAnsi="宋体"/>
          <w:color w:val="auto"/>
          <w:szCs w:val="21"/>
          <w:highlight w:val="none"/>
        </w:rPr>
        <w:t>责任原因给</w:t>
      </w:r>
      <w:r>
        <w:rPr>
          <w:rFonts w:hint="eastAsia" w:cs="Times New Roman"/>
          <w:color w:val="auto"/>
          <w:kern w:val="0"/>
          <w:highlight w:val="none"/>
          <w:lang w:eastAsia="zh-CN"/>
        </w:rPr>
        <w:t>采购人</w:t>
      </w:r>
      <w:r>
        <w:rPr>
          <w:rFonts w:hint="eastAsia" w:ascii="宋体" w:hAnsi="宋体"/>
          <w:color w:val="auto"/>
          <w:szCs w:val="21"/>
          <w:highlight w:val="none"/>
        </w:rPr>
        <w:t>及其工作人员或者其他第三方造成财产损失或者人身伤害的，</w:t>
      </w:r>
      <w:r>
        <w:rPr>
          <w:rFonts w:hint="eastAsia" w:ascii="宋体" w:hAnsi="宋体"/>
          <w:color w:val="auto"/>
          <w:szCs w:val="21"/>
          <w:highlight w:val="none"/>
          <w:lang w:eastAsia="zh-CN"/>
        </w:rPr>
        <w:t>供应商</w:t>
      </w:r>
      <w:r>
        <w:rPr>
          <w:rFonts w:hint="eastAsia" w:ascii="宋体" w:hAnsi="宋体"/>
          <w:color w:val="auto"/>
          <w:szCs w:val="21"/>
          <w:highlight w:val="none"/>
        </w:rPr>
        <w:t>应当积极采取补救措施减少损失的发生，并赔偿由此给</w:t>
      </w:r>
      <w:r>
        <w:rPr>
          <w:rFonts w:hint="eastAsia" w:cs="Times New Roman"/>
          <w:color w:val="auto"/>
          <w:kern w:val="0"/>
          <w:highlight w:val="none"/>
          <w:lang w:eastAsia="zh-CN"/>
        </w:rPr>
        <w:t>采购人</w:t>
      </w:r>
      <w:r>
        <w:rPr>
          <w:rFonts w:hint="eastAsia" w:ascii="宋体" w:hAnsi="宋体"/>
          <w:color w:val="auto"/>
          <w:szCs w:val="21"/>
          <w:highlight w:val="none"/>
        </w:rPr>
        <w:t>造成的实际损失。</w:t>
      </w:r>
    </w:p>
    <w:p w14:paraId="3D027879">
      <w:pPr>
        <w:widowControl/>
        <w:numPr>
          <w:ilvl w:val="0"/>
          <w:numId w:val="0"/>
        </w:numPr>
        <w:spacing w:line="360" w:lineRule="auto"/>
        <w:ind w:firstLine="435"/>
        <w:jc w:val="left"/>
        <w:rPr>
          <w:rFonts w:cs="Verdana"/>
          <w:color w:val="auto"/>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hint="eastAsia" w:ascii="宋体" w:hAnsi="宋体"/>
          <w:color w:val="auto"/>
          <w:szCs w:val="21"/>
          <w:highlight w:val="none"/>
        </w:rPr>
        <w:t>所提供的增值税发票必须保证真实、有效，如果</w:t>
      </w:r>
      <w:r>
        <w:rPr>
          <w:rFonts w:hint="eastAsia" w:ascii="宋体" w:hAnsi="宋体"/>
          <w:color w:val="auto"/>
          <w:szCs w:val="21"/>
          <w:highlight w:val="none"/>
          <w:lang w:eastAsia="zh-CN"/>
        </w:rPr>
        <w:t>供应商</w:t>
      </w:r>
      <w:r>
        <w:rPr>
          <w:rFonts w:hint="eastAsia" w:ascii="宋体" w:hAnsi="宋体"/>
          <w:color w:val="auto"/>
          <w:szCs w:val="21"/>
          <w:highlight w:val="none"/>
        </w:rPr>
        <w:t>提供的增值税发票是虚假的，给</w:t>
      </w:r>
      <w:r>
        <w:rPr>
          <w:rFonts w:hint="eastAsia" w:cs="Times New Roman"/>
          <w:color w:val="auto"/>
          <w:kern w:val="0"/>
          <w:highlight w:val="none"/>
          <w:lang w:eastAsia="zh-CN"/>
        </w:rPr>
        <w:t>采购人</w:t>
      </w:r>
      <w:r>
        <w:rPr>
          <w:rFonts w:hint="eastAsia" w:ascii="宋体" w:hAnsi="宋体"/>
          <w:color w:val="auto"/>
          <w:szCs w:val="21"/>
          <w:highlight w:val="none"/>
        </w:rPr>
        <w:t>造成了损失，</w:t>
      </w:r>
      <w:r>
        <w:rPr>
          <w:rFonts w:hint="eastAsia" w:ascii="宋体" w:hAnsi="宋体"/>
          <w:color w:val="auto"/>
          <w:szCs w:val="21"/>
          <w:highlight w:val="none"/>
          <w:lang w:eastAsia="zh-CN"/>
        </w:rPr>
        <w:t>供应商</w:t>
      </w:r>
      <w:r>
        <w:rPr>
          <w:rFonts w:hint="eastAsia" w:ascii="宋体" w:hAnsi="宋体"/>
          <w:color w:val="auto"/>
          <w:szCs w:val="21"/>
          <w:highlight w:val="none"/>
        </w:rPr>
        <w:t>应给予赔偿。</w:t>
      </w:r>
    </w:p>
    <w:p w14:paraId="1E445728">
      <w:pPr>
        <w:pStyle w:val="76"/>
        <w:numPr>
          <w:ilvl w:val="0"/>
          <w:numId w:val="36"/>
        </w:numPr>
        <w:tabs>
          <w:tab w:val="left" w:pos="1134"/>
        </w:tabs>
        <w:ind w:hanging="284" w:firstLineChars="0"/>
        <w:rPr>
          <w:rFonts w:hint="eastAsia" w:ascii="黑体" w:hAnsi="黑体" w:eastAsia="黑体" w:cs="仿宋"/>
          <w:b w:val="0"/>
          <w:color w:val="auto"/>
          <w:sz w:val="28"/>
          <w:szCs w:val="28"/>
          <w:highlight w:val="none"/>
        </w:rPr>
      </w:pPr>
      <w:r>
        <w:rPr>
          <w:rFonts w:hint="eastAsia" w:ascii="黑体" w:hAnsi="黑体" w:eastAsia="黑体" w:cs="仿宋"/>
          <w:b w:val="0"/>
          <w:color w:val="auto"/>
          <w:sz w:val="28"/>
          <w:szCs w:val="28"/>
          <w:highlight w:val="none"/>
        </w:rPr>
        <w:t>合同纠纷解决</w:t>
      </w:r>
    </w:p>
    <w:p w14:paraId="1F230E5E">
      <w:pPr>
        <w:widowControl/>
        <w:spacing w:line="360" w:lineRule="auto"/>
        <w:ind w:firstLine="371" w:firstLineChars="177"/>
        <w:jc w:val="left"/>
        <w:rPr>
          <w:rFonts w:ascii="宋体" w:hAnsi="宋体"/>
          <w:color w:val="auto"/>
          <w:szCs w:val="21"/>
          <w:highlight w:val="none"/>
        </w:rPr>
      </w:pPr>
      <w:r>
        <w:rPr>
          <w:rFonts w:ascii="宋体" w:hAnsi="宋体"/>
          <w:color w:val="auto"/>
          <w:szCs w:val="21"/>
          <w:highlight w:val="none"/>
        </w:rPr>
        <w:t>1. 本</w:t>
      </w:r>
      <w:r>
        <w:rPr>
          <w:rFonts w:hint="eastAsia" w:ascii="宋体" w:hAnsi="宋体"/>
          <w:color w:val="auto"/>
          <w:szCs w:val="21"/>
          <w:highlight w:val="none"/>
        </w:rPr>
        <w:t>协议的订立、效力、解释、履行及争议的解决适用中华人民共和国的法律法规。</w:t>
      </w:r>
    </w:p>
    <w:p w14:paraId="60920421">
      <w:pPr>
        <w:widowControl/>
        <w:spacing w:line="360" w:lineRule="auto"/>
        <w:ind w:firstLine="371" w:firstLineChars="177"/>
        <w:jc w:val="left"/>
        <w:rPr>
          <w:rFonts w:ascii="宋体" w:hAnsi="宋体"/>
          <w:color w:val="auto"/>
          <w:szCs w:val="21"/>
          <w:highlight w:val="none"/>
        </w:rPr>
      </w:pPr>
      <w:r>
        <w:rPr>
          <w:rFonts w:ascii="宋体" w:hAnsi="宋体"/>
          <w:color w:val="auto"/>
          <w:szCs w:val="21"/>
          <w:highlight w:val="none"/>
        </w:rPr>
        <w:t>2. 双方因本</w:t>
      </w:r>
      <w:r>
        <w:rPr>
          <w:rFonts w:hint="eastAsia" w:ascii="宋体" w:hAnsi="宋体"/>
          <w:color w:val="auto"/>
          <w:szCs w:val="21"/>
          <w:highlight w:val="none"/>
        </w:rPr>
        <w:t>协议项下事宜发生争议</w:t>
      </w:r>
      <w:r>
        <w:rPr>
          <w:rFonts w:ascii="宋体" w:hAnsi="宋体"/>
          <w:color w:val="auto"/>
          <w:szCs w:val="21"/>
          <w:highlight w:val="none"/>
        </w:rPr>
        <w:t>,应协商解决。如协商未果，双方同意将争议提交</w:t>
      </w:r>
      <w:r>
        <w:rPr>
          <w:rFonts w:hint="eastAsia" w:ascii="宋体" w:hAnsi="宋体"/>
          <w:color w:val="auto"/>
          <w:szCs w:val="21"/>
          <w:highlight w:val="none"/>
          <w:lang w:val="en-US" w:eastAsia="zh-CN"/>
        </w:rPr>
        <w:t>北京市</w:t>
      </w:r>
      <w:r>
        <w:rPr>
          <w:rFonts w:hint="eastAsia" w:ascii="宋体" w:hAnsi="宋体"/>
          <w:color w:val="auto"/>
          <w:szCs w:val="21"/>
          <w:highlight w:val="none"/>
        </w:rPr>
        <w:t>人民法院诉讼解决。争议处理期间除正在审理的部分以外，双方应继续执行协议的其余部分。</w:t>
      </w:r>
    </w:p>
    <w:p w14:paraId="123719E2">
      <w:pPr>
        <w:pStyle w:val="76"/>
        <w:numPr>
          <w:ilvl w:val="0"/>
          <w:numId w:val="36"/>
        </w:numPr>
        <w:tabs>
          <w:tab w:val="left" w:pos="1134"/>
        </w:tabs>
        <w:ind w:hanging="284" w:firstLineChars="0"/>
        <w:rPr>
          <w:rFonts w:hint="eastAsia" w:ascii="黑体" w:hAnsi="黑体" w:eastAsia="黑体" w:cs="仿宋"/>
          <w:b w:val="0"/>
          <w:color w:val="auto"/>
          <w:sz w:val="28"/>
          <w:szCs w:val="28"/>
          <w:highlight w:val="none"/>
        </w:rPr>
      </w:pPr>
      <w:r>
        <w:rPr>
          <w:rFonts w:hint="eastAsia" w:ascii="黑体" w:hAnsi="黑体" w:eastAsia="黑体" w:cs="仿宋"/>
          <w:b w:val="0"/>
          <w:color w:val="auto"/>
          <w:sz w:val="28"/>
          <w:szCs w:val="28"/>
          <w:highlight w:val="none"/>
        </w:rPr>
        <w:t>其他约定事项</w:t>
      </w:r>
    </w:p>
    <w:p w14:paraId="786F824F">
      <w:pPr>
        <w:spacing w:line="360" w:lineRule="auto"/>
        <w:ind w:firstLine="420"/>
        <w:rPr>
          <w:rFonts w:hint="eastAsia"/>
          <w:color w:val="auto"/>
          <w:sz w:val="36"/>
          <w:szCs w:val="36"/>
          <w:highlight w:val="none"/>
        </w:rPr>
      </w:pPr>
      <w:r>
        <w:rPr>
          <w:rFonts w:hint="eastAsia" w:ascii="宋体" w:hAnsi="宋体" w:cs="宋体"/>
          <w:color w:val="auto"/>
          <w:sz w:val="22"/>
          <w:szCs w:val="22"/>
          <w:highlight w:val="none"/>
        </w:rPr>
        <w:t>本合同为框架合同，合同项下的货物无最小起订量、最低采购数量或金额上的承诺。如乙方在合同期内未向甲方采购或未足额采购，不构成乙方违约，甲方不得追究乙方任何责任。</w:t>
      </w:r>
    </w:p>
    <w:p w14:paraId="28133B21">
      <w:pPr>
        <w:pStyle w:val="3"/>
        <w:keepNext w:val="0"/>
        <w:keepLines w:val="0"/>
        <w:spacing w:before="120" w:after="120" w:line="240" w:lineRule="auto"/>
        <w:jc w:val="center"/>
        <w:rPr>
          <w:rFonts w:hint="eastAsia"/>
          <w:color w:val="auto"/>
          <w:sz w:val="36"/>
          <w:szCs w:val="36"/>
          <w:highlight w:val="none"/>
        </w:rPr>
      </w:pPr>
    </w:p>
    <w:p w14:paraId="3FA02E51">
      <w:pPr>
        <w:pStyle w:val="3"/>
        <w:keepNext w:val="0"/>
        <w:keepLines w:val="0"/>
        <w:spacing w:before="120" w:after="120" w:line="240" w:lineRule="auto"/>
        <w:jc w:val="center"/>
        <w:rPr>
          <w:rFonts w:hint="eastAsia"/>
          <w:color w:val="auto"/>
          <w:sz w:val="36"/>
          <w:szCs w:val="36"/>
          <w:highlight w:val="none"/>
        </w:rPr>
      </w:pPr>
    </w:p>
    <w:p w14:paraId="2E1170A1">
      <w:pPr>
        <w:pStyle w:val="3"/>
        <w:keepNext w:val="0"/>
        <w:keepLines w:val="0"/>
        <w:spacing w:before="120" w:after="120" w:line="240" w:lineRule="auto"/>
        <w:jc w:val="center"/>
        <w:rPr>
          <w:rFonts w:hint="eastAsia"/>
          <w:color w:val="auto"/>
          <w:sz w:val="36"/>
          <w:szCs w:val="36"/>
          <w:highlight w:val="none"/>
        </w:rPr>
      </w:pPr>
    </w:p>
    <w:p w14:paraId="69B54F15">
      <w:pPr>
        <w:pStyle w:val="3"/>
        <w:keepNext w:val="0"/>
        <w:keepLines w:val="0"/>
        <w:spacing w:before="120" w:after="120" w:line="240" w:lineRule="auto"/>
        <w:jc w:val="center"/>
        <w:rPr>
          <w:rFonts w:hint="eastAsia"/>
          <w:color w:val="auto"/>
          <w:sz w:val="36"/>
          <w:szCs w:val="36"/>
          <w:highlight w:val="none"/>
        </w:rPr>
      </w:pPr>
    </w:p>
    <w:p w14:paraId="6B3CF314">
      <w:pPr>
        <w:pStyle w:val="3"/>
        <w:keepNext w:val="0"/>
        <w:keepLines w:val="0"/>
        <w:spacing w:before="120" w:after="120" w:line="240" w:lineRule="auto"/>
        <w:jc w:val="center"/>
        <w:rPr>
          <w:rFonts w:hint="eastAsia"/>
          <w:color w:val="auto"/>
          <w:sz w:val="36"/>
          <w:szCs w:val="36"/>
          <w:highlight w:val="none"/>
        </w:rPr>
      </w:pPr>
    </w:p>
    <w:p w14:paraId="570F393A">
      <w:pPr>
        <w:pStyle w:val="3"/>
        <w:keepNext w:val="0"/>
        <w:keepLines w:val="0"/>
        <w:spacing w:before="120" w:after="120" w:line="240" w:lineRule="auto"/>
        <w:jc w:val="center"/>
        <w:rPr>
          <w:rFonts w:hint="eastAsia"/>
          <w:color w:val="auto"/>
          <w:sz w:val="36"/>
          <w:szCs w:val="36"/>
          <w:highlight w:val="none"/>
        </w:rPr>
      </w:pPr>
    </w:p>
    <w:p w14:paraId="7E76DD93">
      <w:pPr>
        <w:rPr>
          <w:rFonts w:hint="eastAsia"/>
          <w:color w:val="auto"/>
          <w:sz w:val="36"/>
          <w:szCs w:val="36"/>
          <w:highlight w:val="none"/>
        </w:rPr>
      </w:pPr>
    </w:p>
    <w:p w14:paraId="4A17051C">
      <w:pPr>
        <w:pStyle w:val="2"/>
        <w:rPr>
          <w:rFonts w:hint="eastAsia"/>
          <w:color w:val="auto"/>
          <w:sz w:val="36"/>
          <w:szCs w:val="36"/>
          <w:highlight w:val="none"/>
        </w:rPr>
      </w:pPr>
    </w:p>
    <w:p w14:paraId="37C92739">
      <w:pPr>
        <w:pStyle w:val="2"/>
        <w:rPr>
          <w:rFonts w:hint="eastAsia"/>
          <w:color w:val="auto"/>
          <w:sz w:val="36"/>
          <w:szCs w:val="36"/>
          <w:highlight w:val="none"/>
        </w:rPr>
      </w:pPr>
    </w:p>
    <w:p w14:paraId="0A7652E6">
      <w:pPr>
        <w:pStyle w:val="2"/>
        <w:rPr>
          <w:rFonts w:hint="eastAsia"/>
          <w:color w:val="auto"/>
          <w:sz w:val="36"/>
          <w:szCs w:val="36"/>
          <w:highlight w:val="none"/>
        </w:rPr>
      </w:pPr>
    </w:p>
    <w:p w14:paraId="1E9117A0">
      <w:pPr>
        <w:pStyle w:val="2"/>
        <w:rPr>
          <w:rFonts w:hint="eastAsia"/>
          <w:color w:val="auto"/>
          <w:sz w:val="36"/>
          <w:szCs w:val="36"/>
          <w:highlight w:val="none"/>
        </w:rPr>
      </w:pPr>
    </w:p>
    <w:p w14:paraId="31395B49">
      <w:pPr>
        <w:pStyle w:val="3"/>
        <w:keepNext w:val="0"/>
        <w:keepLines w:val="0"/>
        <w:spacing w:before="120" w:after="120" w:line="240" w:lineRule="auto"/>
        <w:jc w:val="center"/>
        <w:rPr>
          <w:rFonts w:hint="eastAsia"/>
          <w:color w:val="auto"/>
          <w:sz w:val="36"/>
          <w:szCs w:val="36"/>
          <w:highlight w:val="none"/>
        </w:rPr>
      </w:pPr>
    </w:p>
    <w:p w14:paraId="0186F6D7">
      <w:pPr>
        <w:pStyle w:val="3"/>
        <w:keepNext w:val="0"/>
        <w:keepLines w:val="0"/>
        <w:spacing w:before="120" w:after="120" w:line="240" w:lineRule="auto"/>
        <w:jc w:val="center"/>
        <w:rPr>
          <w:color w:val="auto"/>
          <w:sz w:val="36"/>
          <w:szCs w:val="36"/>
          <w:highlight w:val="none"/>
        </w:rPr>
      </w:pPr>
      <w:r>
        <w:rPr>
          <w:rFonts w:hint="eastAsia"/>
          <w:color w:val="auto"/>
          <w:sz w:val="36"/>
          <w:szCs w:val="36"/>
          <w:highlight w:val="none"/>
        </w:rPr>
        <w:t xml:space="preserve">第五部分 </w:t>
      </w:r>
      <w:r>
        <w:rPr>
          <w:color w:val="auto"/>
          <w:sz w:val="36"/>
          <w:szCs w:val="36"/>
          <w:highlight w:val="none"/>
        </w:rPr>
        <w:t xml:space="preserve"> </w:t>
      </w:r>
      <w:r>
        <w:rPr>
          <w:rFonts w:hint="eastAsia"/>
          <w:color w:val="auto"/>
          <w:sz w:val="36"/>
          <w:szCs w:val="36"/>
          <w:highlight w:val="none"/>
        </w:rPr>
        <w:t>响应文件格式</w:t>
      </w:r>
    </w:p>
    <w:p w14:paraId="134F22DC">
      <w:pPr>
        <w:pStyle w:val="4"/>
        <w:spacing w:before="240" w:after="240"/>
        <w:jc w:val="center"/>
        <w:rPr>
          <w:rFonts w:ascii="仿宋_GB2312" w:hAnsi="华文中宋"/>
          <w:color w:val="auto"/>
          <w:szCs w:val="36"/>
          <w:highlight w:val="none"/>
        </w:rPr>
      </w:pPr>
      <w:r>
        <w:rPr>
          <w:rFonts w:hint="eastAsia" w:asciiTheme="majorEastAsia" w:hAnsiTheme="majorEastAsia" w:eastAsiaTheme="majorEastAsia"/>
          <w:color w:val="auto"/>
          <w:sz w:val="32"/>
          <w:highlight w:val="none"/>
        </w:rPr>
        <w:t xml:space="preserve">格式一 </w:t>
      </w:r>
      <w:r>
        <w:rPr>
          <w:rFonts w:asciiTheme="majorEastAsia" w:hAnsiTheme="majorEastAsia" w:eastAsiaTheme="majorEastAsia"/>
          <w:color w:val="auto"/>
          <w:sz w:val="32"/>
          <w:highlight w:val="none"/>
        </w:rPr>
        <w:t xml:space="preserve"> </w:t>
      </w:r>
      <w:r>
        <w:rPr>
          <w:rFonts w:hint="eastAsia" w:asciiTheme="majorEastAsia" w:hAnsiTheme="majorEastAsia" w:eastAsiaTheme="majorEastAsia"/>
          <w:color w:val="auto"/>
          <w:sz w:val="32"/>
          <w:highlight w:val="none"/>
        </w:rPr>
        <w:t>报价函</w:t>
      </w:r>
    </w:p>
    <w:p w14:paraId="39A33B56">
      <w:pPr>
        <w:spacing w:line="360" w:lineRule="auto"/>
        <w:rPr>
          <w:color w:val="auto"/>
          <w:highlight w:val="none"/>
        </w:rPr>
      </w:pPr>
      <w:r>
        <w:rPr>
          <w:rFonts w:hint="eastAsia"/>
          <w:color w:val="auto"/>
          <w:highlight w:val="none"/>
        </w:rPr>
        <w:t>致：</w:t>
      </w:r>
      <w:r>
        <w:rPr>
          <w:rFonts w:hint="eastAsia"/>
          <w:color w:val="auto"/>
          <w:sz w:val="24"/>
          <w:szCs w:val="24"/>
          <w:highlight w:val="none"/>
          <w:lang w:eastAsia="zh-CN"/>
        </w:rPr>
        <w:t>厦门航空有限公司北方总部</w:t>
      </w:r>
    </w:p>
    <w:p w14:paraId="00D5DD65">
      <w:pPr>
        <w:spacing w:line="360" w:lineRule="auto"/>
        <w:ind w:firstLine="420" w:firstLineChars="200"/>
        <w:rPr>
          <w:color w:val="auto"/>
          <w:highlight w:val="none"/>
        </w:rPr>
      </w:pPr>
      <w:r>
        <w:rPr>
          <w:rFonts w:hint="eastAsia"/>
          <w:color w:val="auto"/>
          <w:highlight w:val="none"/>
        </w:rPr>
        <w:t>经研究，我公司决定参加</w:t>
      </w:r>
      <w:r>
        <w:rPr>
          <w:rFonts w:hint="eastAsia" w:cs="宋体"/>
          <w:color w:val="auto"/>
          <w:sz w:val="24"/>
          <w:szCs w:val="24"/>
          <w:highlight w:val="none"/>
          <w:lang w:val="en-US" w:eastAsia="zh-CN"/>
        </w:rPr>
        <w:t>厦航大兴机场基地2026年普通车油料采购</w:t>
      </w:r>
      <w:r>
        <w:rPr>
          <w:rFonts w:hint="eastAsia"/>
          <w:color w:val="auto"/>
          <w:highlight w:val="none"/>
        </w:rPr>
        <w:t>采购项目。为此，我公司郑重声明以下诸点，并负法律责任。</w:t>
      </w:r>
    </w:p>
    <w:p w14:paraId="3851FB35">
      <w:pPr>
        <w:numPr>
          <w:ilvl w:val="0"/>
          <w:numId w:val="37"/>
        </w:numPr>
        <w:spacing w:line="360" w:lineRule="auto"/>
        <w:ind w:left="0" w:firstLine="420" w:firstLineChars="200"/>
        <w:rPr>
          <w:color w:val="auto"/>
          <w:highlight w:val="none"/>
        </w:rPr>
      </w:pPr>
      <w:r>
        <w:rPr>
          <w:rFonts w:hint="eastAsia"/>
          <w:color w:val="auto"/>
          <w:highlight w:val="none"/>
        </w:rPr>
        <w:t>我公司提交的报价文件，正本壹份。</w:t>
      </w:r>
    </w:p>
    <w:p w14:paraId="235AA9F6">
      <w:pPr>
        <w:numPr>
          <w:ilvl w:val="0"/>
          <w:numId w:val="37"/>
        </w:numPr>
        <w:spacing w:line="360" w:lineRule="auto"/>
        <w:ind w:left="0" w:firstLine="420" w:firstLineChars="200"/>
        <w:rPr>
          <w:color w:val="auto"/>
          <w:highlight w:val="none"/>
        </w:rPr>
      </w:pPr>
      <w:r>
        <w:rPr>
          <w:rFonts w:hint="eastAsia"/>
          <w:color w:val="auto"/>
          <w:highlight w:val="none"/>
        </w:rPr>
        <w:t>完全理解和接受谈判文件的一切规定和要求。</w:t>
      </w:r>
    </w:p>
    <w:p w14:paraId="04F5750E">
      <w:pPr>
        <w:numPr>
          <w:ilvl w:val="0"/>
          <w:numId w:val="37"/>
        </w:numPr>
        <w:spacing w:line="360" w:lineRule="auto"/>
        <w:ind w:left="0" w:firstLine="420" w:firstLineChars="200"/>
        <w:rPr>
          <w:color w:val="auto"/>
          <w:highlight w:val="none"/>
        </w:rPr>
      </w:pPr>
      <w:r>
        <w:rPr>
          <w:rFonts w:hint="eastAsia"/>
          <w:color w:val="auto"/>
          <w:highlight w:val="none"/>
        </w:rPr>
        <w:t>如果我公司的报价文件被接受，我公司将履行谈判文件中规定的每一项要求，并按我公司报价文件中的承诺按期、保质、保量提供货物。</w:t>
      </w:r>
    </w:p>
    <w:p w14:paraId="780F729B">
      <w:pPr>
        <w:numPr>
          <w:ilvl w:val="0"/>
          <w:numId w:val="37"/>
        </w:numPr>
        <w:spacing w:line="360" w:lineRule="auto"/>
        <w:ind w:left="0" w:firstLine="420" w:firstLineChars="200"/>
        <w:rPr>
          <w:color w:val="auto"/>
          <w:highlight w:val="none"/>
        </w:rPr>
      </w:pPr>
      <w:r>
        <w:rPr>
          <w:rFonts w:hint="eastAsia"/>
          <w:color w:val="auto"/>
          <w:highlight w:val="none"/>
        </w:rPr>
        <w:t>我公司理解，最低报价不是成交的唯一条件，贵公司有选择成交供应商的权利。</w:t>
      </w:r>
    </w:p>
    <w:p w14:paraId="4AA3200C">
      <w:pPr>
        <w:numPr>
          <w:ilvl w:val="0"/>
          <w:numId w:val="37"/>
        </w:numPr>
        <w:spacing w:line="360" w:lineRule="auto"/>
        <w:ind w:left="0" w:firstLine="420" w:firstLineChars="200"/>
        <w:rPr>
          <w:color w:val="auto"/>
          <w:highlight w:val="none"/>
        </w:rPr>
      </w:pPr>
      <w:r>
        <w:rPr>
          <w:rFonts w:hint="eastAsia"/>
          <w:color w:val="auto"/>
          <w:highlight w:val="none"/>
        </w:rPr>
        <w:t>我公司愿按《中华人民共和国民法典》履行自己的全部责任。</w:t>
      </w:r>
    </w:p>
    <w:p w14:paraId="40F2DAC0">
      <w:pPr>
        <w:numPr>
          <w:ilvl w:val="0"/>
          <w:numId w:val="37"/>
        </w:numPr>
        <w:spacing w:line="360" w:lineRule="auto"/>
        <w:ind w:left="0" w:firstLine="420" w:firstLineChars="200"/>
        <w:rPr>
          <w:color w:val="auto"/>
          <w:highlight w:val="none"/>
        </w:rPr>
      </w:pPr>
      <w:r>
        <w:rPr>
          <w:rFonts w:hint="eastAsia"/>
          <w:color w:val="auto"/>
          <w:highlight w:val="none"/>
        </w:rPr>
        <w:t>在整个谈判过程中，我公司若有违规行为，贵公司可按谈判文件之规定给予处理，我公司完全接受。</w:t>
      </w:r>
    </w:p>
    <w:p w14:paraId="1FB440A3">
      <w:pPr>
        <w:numPr>
          <w:ilvl w:val="0"/>
          <w:numId w:val="37"/>
        </w:numPr>
        <w:spacing w:line="360" w:lineRule="auto"/>
        <w:ind w:left="0" w:firstLine="420" w:firstLineChars="200"/>
        <w:rPr>
          <w:color w:val="auto"/>
          <w:highlight w:val="none"/>
        </w:rPr>
      </w:pPr>
      <w:r>
        <w:rPr>
          <w:rFonts w:hint="eastAsia"/>
          <w:color w:val="auto"/>
          <w:highlight w:val="none"/>
        </w:rPr>
        <w:t>在整个谈判过程中及谈判结束后，未经贵公司书面同意，我公司保证不向任何第三方泄露本次谈判的任何信息资料及内容。</w:t>
      </w:r>
    </w:p>
    <w:p w14:paraId="75984B39">
      <w:pPr>
        <w:numPr>
          <w:ilvl w:val="0"/>
          <w:numId w:val="37"/>
        </w:numPr>
        <w:spacing w:line="360" w:lineRule="auto"/>
        <w:ind w:left="0" w:firstLine="420" w:firstLineChars="200"/>
        <w:rPr>
          <w:color w:val="auto"/>
          <w:highlight w:val="none"/>
        </w:rPr>
      </w:pPr>
      <w:r>
        <w:rPr>
          <w:rFonts w:hint="eastAsia"/>
          <w:color w:val="auto"/>
          <w:highlight w:val="none"/>
        </w:rPr>
        <w:t>报价文件中所有关于供应商资格的文件、证明、陈述均是真实的、准确的。若有违背，我公司承担由此而产生的一切后果。</w:t>
      </w:r>
    </w:p>
    <w:p w14:paraId="7DB28556">
      <w:pPr>
        <w:numPr>
          <w:ilvl w:val="0"/>
          <w:numId w:val="37"/>
        </w:numPr>
        <w:spacing w:line="360" w:lineRule="auto"/>
        <w:ind w:left="0" w:firstLine="420" w:firstLineChars="200"/>
        <w:rPr>
          <w:color w:val="auto"/>
          <w:highlight w:val="none"/>
        </w:rPr>
      </w:pPr>
      <w:bookmarkStart w:id="7" w:name="_Hlk78298961"/>
      <w:r>
        <w:rPr>
          <w:rFonts w:hint="eastAsia"/>
          <w:color w:val="auto"/>
          <w:kern w:val="0"/>
          <w:highlight w:val="none"/>
        </w:rPr>
        <w:t>报价文件中列明含税价和不含税价。在合同履行期间如遇国家的税率调整，我公司承诺价税合计相应调整，以发票开具的日期为准。</w:t>
      </w:r>
    </w:p>
    <w:bookmarkEnd w:id="7"/>
    <w:p w14:paraId="73ACE32D">
      <w:pPr>
        <w:numPr>
          <w:ilvl w:val="0"/>
          <w:numId w:val="37"/>
        </w:numPr>
        <w:spacing w:line="360" w:lineRule="auto"/>
        <w:ind w:hanging="500"/>
        <w:rPr>
          <w:color w:val="auto"/>
          <w:highlight w:val="none"/>
        </w:rPr>
      </w:pPr>
      <w:r>
        <w:rPr>
          <w:rFonts w:hint="eastAsia"/>
          <w:color w:val="auto"/>
          <w:highlight w:val="none"/>
        </w:rPr>
        <w:t>本函与合同具有同等的法律效力。</w:t>
      </w:r>
    </w:p>
    <w:p w14:paraId="060F592B">
      <w:pPr>
        <w:pStyle w:val="46"/>
        <w:rPr>
          <w:rFonts w:hint="eastAsia"/>
          <w:color w:val="auto"/>
          <w:highlight w:val="none"/>
        </w:rPr>
      </w:pPr>
    </w:p>
    <w:p w14:paraId="217C581B">
      <w:pPr>
        <w:pStyle w:val="46"/>
        <w:rPr>
          <w:rFonts w:hint="eastAsia"/>
          <w:color w:val="auto"/>
          <w:highlight w:val="none"/>
        </w:rPr>
      </w:pPr>
    </w:p>
    <w:p w14:paraId="58D2C30E">
      <w:pPr>
        <w:pStyle w:val="46"/>
        <w:rPr>
          <w:rFonts w:hint="eastAsia"/>
          <w:color w:val="auto"/>
          <w:highlight w:val="none"/>
        </w:rPr>
      </w:pPr>
    </w:p>
    <w:p w14:paraId="1C321FCD">
      <w:pPr>
        <w:spacing w:line="360" w:lineRule="auto"/>
        <w:ind w:left="4200" w:leftChars="2000" w:firstLine="420"/>
        <w:rPr>
          <w:color w:val="auto"/>
          <w:highlight w:val="none"/>
          <w:u w:val="single"/>
        </w:rPr>
      </w:pPr>
      <w:r>
        <w:rPr>
          <w:rFonts w:hint="eastAsia"/>
          <w:color w:val="auto"/>
          <w:highlight w:val="none"/>
        </w:rPr>
        <w:t>供应商名称：（加盖公章）</w:t>
      </w:r>
    </w:p>
    <w:p w14:paraId="7D4D26E6">
      <w:pPr>
        <w:spacing w:line="360" w:lineRule="auto"/>
        <w:ind w:left="4200" w:leftChars="2000" w:firstLine="420"/>
        <w:rPr>
          <w:color w:val="auto"/>
          <w:highlight w:val="none"/>
        </w:rPr>
      </w:pPr>
      <w:r>
        <w:rPr>
          <w:rFonts w:hint="eastAsia"/>
          <w:color w:val="auto"/>
          <w:highlight w:val="none"/>
        </w:rPr>
        <w:t>法定代表人或委托代表（签字）：</w:t>
      </w:r>
    </w:p>
    <w:p w14:paraId="50731E02">
      <w:pPr>
        <w:spacing w:line="360" w:lineRule="auto"/>
        <w:ind w:left="4200" w:leftChars="2000" w:firstLine="420"/>
        <w:rPr>
          <w:color w:val="auto"/>
          <w:highlight w:val="none"/>
        </w:rPr>
      </w:pPr>
      <w:r>
        <w:rPr>
          <w:rFonts w:hint="eastAsia"/>
          <w:color w:val="auto"/>
          <w:highlight w:val="none"/>
        </w:rPr>
        <w:t>日期：</w:t>
      </w:r>
    </w:p>
    <w:p w14:paraId="651F04B5">
      <w:pPr>
        <w:spacing w:line="360" w:lineRule="auto"/>
        <w:ind w:left="4200" w:leftChars="2000" w:firstLine="420"/>
        <w:rPr>
          <w:color w:val="auto"/>
          <w:highlight w:val="none"/>
        </w:rPr>
      </w:pPr>
    </w:p>
    <w:p w14:paraId="38A6B485">
      <w:pPr>
        <w:spacing w:line="360" w:lineRule="auto"/>
        <w:ind w:left="4200" w:leftChars="2000" w:firstLine="420"/>
        <w:rPr>
          <w:color w:val="auto"/>
          <w:highlight w:val="none"/>
        </w:rPr>
      </w:pPr>
    </w:p>
    <w:p w14:paraId="089852EF">
      <w:pPr>
        <w:spacing w:line="360" w:lineRule="auto"/>
        <w:ind w:left="4200" w:leftChars="2000" w:firstLine="420"/>
        <w:rPr>
          <w:color w:val="auto"/>
          <w:highlight w:val="none"/>
        </w:rPr>
      </w:pPr>
    </w:p>
    <w:p w14:paraId="6D43E6AF">
      <w:pPr>
        <w:spacing w:line="360" w:lineRule="auto"/>
        <w:ind w:left="4200" w:leftChars="2000" w:firstLine="420"/>
        <w:rPr>
          <w:color w:val="auto"/>
          <w:highlight w:val="none"/>
        </w:rPr>
      </w:pPr>
    </w:p>
    <w:p w14:paraId="53D65BBF">
      <w:pPr>
        <w:pStyle w:val="4"/>
        <w:ind w:firstLine="3072" w:firstLineChars="850"/>
        <w:rPr>
          <w:rFonts w:asciiTheme="majorEastAsia" w:hAnsiTheme="majorEastAsia" w:eastAsiaTheme="majorEastAsia"/>
          <w:color w:val="auto"/>
          <w:szCs w:val="36"/>
          <w:highlight w:val="none"/>
        </w:rPr>
      </w:pPr>
      <w:r>
        <w:rPr>
          <w:rFonts w:hint="eastAsia" w:asciiTheme="majorEastAsia" w:hAnsiTheme="majorEastAsia" w:eastAsiaTheme="majorEastAsia"/>
          <w:color w:val="auto"/>
          <w:szCs w:val="36"/>
          <w:highlight w:val="none"/>
        </w:rPr>
        <w:t xml:space="preserve">格式二 </w:t>
      </w:r>
      <w:r>
        <w:rPr>
          <w:rFonts w:asciiTheme="majorEastAsia" w:hAnsiTheme="majorEastAsia" w:eastAsiaTheme="majorEastAsia"/>
          <w:color w:val="auto"/>
          <w:szCs w:val="36"/>
          <w:highlight w:val="none"/>
        </w:rPr>
        <w:t xml:space="preserve">  </w:t>
      </w:r>
      <w:r>
        <w:rPr>
          <w:rFonts w:hint="eastAsia" w:asciiTheme="majorEastAsia" w:hAnsiTheme="majorEastAsia" w:eastAsiaTheme="majorEastAsia"/>
          <w:color w:val="auto"/>
          <w:szCs w:val="36"/>
          <w:highlight w:val="none"/>
        </w:rPr>
        <w:t>授权书</w:t>
      </w:r>
    </w:p>
    <w:p w14:paraId="7B59BAB7">
      <w:pPr>
        <w:spacing w:line="360" w:lineRule="auto"/>
        <w:ind w:firstLine="525" w:firstLineChars="250"/>
        <w:rPr>
          <w:color w:val="auto"/>
          <w:highlight w:val="none"/>
        </w:rPr>
      </w:pPr>
      <w:r>
        <w:rPr>
          <w:rFonts w:hint="eastAsia"/>
          <w:color w:val="auto"/>
          <w:highlight w:val="none"/>
        </w:rPr>
        <w:t>本授权书声明：注册于</w:t>
      </w:r>
      <w:r>
        <w:rPr>
          <w:rFonts w:hint="eastAsia"/>
          <w:color w:val="auto"/>
          <w:highlight w:val="none"/>
          <w:u w:val="single"/>
        </w:rPr>
        <w:t>（地址）</w:t>
      </w:r>
      <w:r>
        <w:rPr>
          <w:rFonts w:hint="eastAsia"/>
          <w:color w:val="auto"/>
          <w:highlight w:val="none"/>
        </w:rPr>
        <w:t>的</w:t>
      </w:r>
      <w:r>
        <w:rPr>
          <w:rFonts w:hint="eastAsia"/>
          <w:color w:val="auto"/>
          <w:highlight w:val="none"/>
          <w:u w:val="single"/>
        </w:rPr>
        <w:t>（公司名称）</w:t>
      </w:r>
      <w:r>
        <w:rPr>
          <w:rFonts w:hint="eastAsia"/>
          <w:color w:val="auto"/>
          <w:highlight w:val="none"/>
        </w:rPr>
        <w:t>的法定代表人</w:t>
      </w:r>
      <w:r>
        <w:rPr>
          <w:rFonts w:hint="eastAsia"/>
          <w:color w:val="auto"/>
          <w:highlight w:val="none"/>
          <w:u w:val="single"/>
        </w:rPr>
        <w:t>（姓名）</w:t>
      </w:r>
      <w:r>
        <w:rPr>
          <w:rFonts w:hint="eastAsia"/>
          <w:color w:val="auto"/>
          <w:highlight w:val="none"/>
        </w:rPr>
        <w:t>授权</w:t>
      </w:r>
      <w:r>
        <w:rPr>
          <w:rFonts w:hint="eastAsia"/>
          <w:color w:val="auto"/>
          <w:highlight w:val="none"/>
          <w:u w:val="single"/>
        </w:rPr>
        <w:t>（代理人的姓名、职务）</w:t>
      </w:r>
      <w:r>
        <w:rPr>
          <w:rFonts w:hint="eastAsia"/>
          <w:color w:val="auto"/>
          <w:highlight w:val="none"/>
        </w:rPr>
        <w:t>为本公司的合法代理人，就</w:t>
      </w:r>
      <w:r>
        <w:rPr>
          <w:rFonts w:hint="eastAsia"/>
          <w:color w:val="auto"/>
          <w:highlight w:val="none"/>
          <w:u w:val="single"/>
          <w:lang w:val="en-US" w:eastAsia="zh-CN"/>
        </w:rPr>
        <w:t xml:space="preserve">  </w:t>
      </w:r>
      <w:r>
        <w:rPr>
          <w:rFonts w:hint="eastAsia" w:cs="宋体"/>
          <w:color w:val="auto"/>
          <w:sz w:val="24"/>
          <w:szCs w:val="24"/>
          <w:highlight w:val="none"/>
          <w:lang w:val="en-US" w:eastAsia="zh-CN"/>
        </w:rPr>
        <w:t>厦航大兴机场基地2026年普通车油料采购</w:t>
      </w:r>
      <w:r>
        <w:rPr>
          <w:rFonts w:hint="eastAsia"/>
          <w:color w:val="auto"/>
          <w:highlight w:val="none"/>
          <w:u w:val="single"/>
          <w:lang w:val="en-US" w:eastAsia="zh-CN"/>
        </w:rPr>
        <w:t xml:space="preserve">         </w:t>
      </w:r>
      <w:r>
        <w:rPr>
          <w:rFonts w:hint="eastAsia"/>
          <w:color w:val="auto"/>
          <w:highlight w:val="none"/>
        </w:rPr>
        <w:t>采购项目的谈判及采购合同的签署和执行，以本公司名义处理一切与之有关的各项事务（包括法律事务），其全部法律后果由本公司承担。</w:t>
      </w:r>
    </w:p>
    <w:p w14:paraId="7A46D622">
      <w:pPr>
        <w:spacing w:line="360" w:lineRule="auto"/>
        <w:ind w:firstLine="525" w:firstLineChars="250"/>
        <w:rPr>
          <w:color w:val="auto"/>
          <w:highlight w:val="none"/>
        </w:rPr>
      </w:pPr>
      <w:r>
        <w:rPr>
          <w:rFonts w:hint="eastAsia"/>
          <w:color w:val="auto"/>
          <w:highlight w:val="none"/>
        </w:rPr>
        <w:t>本公司同意在报价截止之日起90个日历日内遵守本报价文件中的承诺且在此期限期满之前均具有约束力。</w:t>
      </w:r>
    </w:p>
    <w:p w14:paraId="49BEBC97">
      <w:pPr>
        <w:spacing w:line="360" w:lineRule="auto"/>
        <w:ind w:firstLine="420"/>
        <w:rPr>
          <w:color w:val="auto"/>
          <w:highlight w:val="none"/>
        </w:rPr>
      </w:pPr>
      <w:r>
        <w:rPr>
          <w:rFonts w:hint="eastAsia"/>
          <w:color w:val="auto"/>
          <w:highlight w:val="none"/>
        </w:rPr>
        <w:t>本授权书于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日签字盖章生效，特此声明。</w:t>
      </w:r>
    </w:p>
    <w:p w14:paraId="651FBA13">
      <w:pPr>
        <w:spacing w:line="360" w:lineRule="auto"/>
        <w:ind w:firstLine="420"/>
        <w:rPr>
          <w:color w:val="auto"/>
          <w:highlight w:val="none"/>
        </w:rPr>
      </w:pPr>
    </w:p>
    <w:p w14:paraId="55C081DA">
      <w:pPr>
        <w:spacing w:line="360" w:lineRule="auto"/>
        <w:ind w:firstLine="420"/>
        <w:rPr>
          <w:color w:val="auto"/>
          <w:highlight w:val="none"/>
        </w:rPr>
      </w:pPr>
    </w:p>
    <w:p w14:paraId="35A4A58A">
      <w:pPr>
        <w:spacing w:line="360" w:lineRule="auto"/>
        <w:ind w:firstLine="420"/>
        <w:rPr>
          <w:color w:val="auto"/>
          <w:highlight w:val="none"/>
        </w:rPr>
      </w:pPr>
      <w:r>
        <w:rPr>
          <w:rFonts w:hint="eastAsia"/>
          <w:color w:val="auto"/>
          <w:highlight w:val="none"/>
        </w:rPr>
        <w:t>法定代表人（签字）：</w:t>
      </w:r>
    </w:p>
    <w:p w14:paraId="59C29D2C">
      <w:pPr>
        <w:spacing w:line="360" w:lineRule="auto"/>
        <w:ind w:firstLine="420"/>
        <w:rPr>
          <w:color w:val="auto"/>
          <w:highlight w:val="none"/>
        </w:rPr>
      </w:pPr>
    </w:p>
    <w:p w14:paraId="465477DF">
      <w:pPr>
        <w:spacing w:line="360" w:lineRule="auto"/>
        <w:ind w:firstLine="420"/>
        <w:rPr>
          <w:color w:val="auto"/>
          <w:highlight w:val="none"/>
        </w:rPr>
      </w:pPr>
      <w:r>
        <w:rPr>
          <w:rFonts w:hint="eastAsia"/>
          <w:color w:val="auto"/>
          <w:highlight w:val="none"/>
        </w:rPr>
        <w:t>授权代表（被授权人）（签字或盖章）：</w:t>
      </w:r>
    </w:p>
    <w:p w14:paraId="7549597C">
      <w:pPr>
        <w:spacing w:line="360" w:lineRule="auto"/>
        <w:ind w:firstLine="420"/>
        <w:rPr>
          <w:color w:val="auto"/>
          <w:highlight w:val="none"/>
        </w:rPr>
      </w:pPr>
      <w:r>
        <w:rPr>
          <w:rFonts w:hint="eastAsia"/>
          <w:color w:val="auto"/>
          <w:highlight w:val="none"/>
        </w:rPr>
        <w:t>职务：</w:t>
      </w:r>
    </w:p>
    <w:p w14:paraId="5D213863">
      <w:pPr>
        <w:spacing w:line="360" w:lineRule="auto"/>
        <w:ind w:firstLine="420"/>
        <w:rPr>
          <w:color w:val="auto"/>
          <w:highlight w:val="none"/>
        </w:rPr>
      </w:pPr>
    </w:p>
    <w:p w14:paraId="6DC28521">
      <w:pPr>
        <w:spacing w:line="360" w:lineRule="auto"/>
        <w:ind w:firstLine="420"/>
        <w:rPr>
          <w:color w:val="auto"/>
          <w:highlight w:val="none"/>
        </w:rPr>
      </w:pPr>
      <w:r>
        <w:rPr>
          <w:rFonts w:hint="eastAsia"/>
          <w:color w:val="auto"/>
          <w:highlight w:val="none"/>
        </w:rPr>
        <w:t>单位名称（公章）：</w:t>
      </w:r>
    </w:p>
    <w:p w14:paraId="5C176730">
      <w:pPr>
        <w:spacing w:line="360" w:lineRule="auto"/>
        <w:ind w:firstLine="420"/>
        <w:rPr>
          <w:color w:val="auto"/>
          <w:highlight w:val="none"/>
        </w:rPr>
      </w:pPr>
      <w:r>
        <w:rPr>
          <w:rFonts w:hint="eastAsia"/>
          <w:color w:val="auto"/>
          <w:highlight w:val="none"/>
        </w:rPr>
        <w:t>地址：</w:t>
      </w:r>
    </w:p>
    <w:p w14:paraId="6BC64ED8">
      <w:pPr>
        <w:spacing w:line="360" w:lineRule="auto"/>
        <w:ind w:firstLine="420"/>
        <w:rPr>
          <w:color w:val="auto"/>
          <w:highlight w:val="none"/>
        </w:rPr>
      </w:pPr>
    </w:p>
    <w:p w14:paraId="4DC44C51">
      <w:pPr>
        <w:spacing w:line="360" w:lineRule="auto"/>
        <w:ind w:firstLine="420"/>
        <w:rPr>
          <w:color w:val="auto"/>
          <w:highlight w:val="none"/>
        </w:rPr>
      </w:pPr>
    </w:p>
    <w:p w14:paraId="59FF2396">
      <w:pPr>
        <w:spacing w:line="360" w:lineRule="auto"/>
        <w:ind w:firstLine="420"/>
        <w:rPr>
          <w:rFonts w:hint="eastAsia"/>
          <w:color w:val="auto"/>
          <w:highlight w:val="none"/>
        </w:rPr>
      </w:pPr>
      <w:r>
        <w:rPr>
          <w:rFonts w:hint="eastAsia"/>
          <w:color w:val="auto"/>
          <w:highlight w:val="none"/>
        </w:rPr>
        <w:t>（请附上法定代表人及授权代表身份证复印件。）</w:t>
      </w:r>
    </w:p>
    <w:p w14:paraId="27623D7F">
      <w:pPr>
        <w:pStyle w:val="16"/>
        <w:rPr>
          <w:rFonts w:hint="eastAsia"/>
          <w:color w:val="auto"/>
          <w:highlight w:val="none"/>
        </w:rPr>
      </w:pPr>
    </w:p>
    <w:p w14:paraId="1B8C4B73">
      <w:pPr>
        <w:pStyle w:val="16"/>
        <w:rPr>
          <w:rFonts w:hint="eastAsia"/>
          <w:color w:val="auto"/>
          <w:highlight w:val="none"/>
        </w:rPr>
      </w:pPr>
    </w:p>
    <w:p w14:paraId="432EC341">
      <w:pPr>
        <w:pStyle w:val="16"/>
        <w:rPr>
          <w:rFonts w:hint="eastAsia"/>
          <w:color w:val="auto"/>
          <w:highlight w:val="none"/>
        </w:rPr>
      </w:pPr>
    </w:p>
    <w:p w14:paraId="4DEA45C4">
      <w:pPr>
        <w:pStyle w:val="16"/>
        <w:rPr>
          <w:rFonts w:hint="eastAsia"/>
          <w:color w:val="auto"/>
          <w:highlight w:val="none"/>
        </w:rPr>
      </w:pPr>
    </w:p>
    <w:p w14:paraId="0DC3E864">
      <w:pPr>
        <w:pStyle w:val="16"/>
        <w:rPr>
          <w:rFonts w:hint="eastAsia"/>
          <w:color w:val="auto"/>
          <w:highlight w:val="none"/>
        </w:rPr>
      </w:pPr>
    </w:p>
    <w:p w14:paraId="55F6118A">
      <w:pPr>
        <w:pStyle w:val="16"/>
        <w:rPr>
          <w:rFonts w:hint="eastAsia"/>
          <w:color w:val="auto"/>
          <w:highlight w:val="none"/>
        </w:rPr>
      </w:pPr>
    </w:p>
    <w:p w14:paraId="4698163F">
      <w:pPr>
        <w:pStyle w:val="16"/>
        <w:rPr>
          <w:rFonts w:hint="eastAsia"/>
          <w:color w:val="auto"/>
          <w:highlight w:val="none"/>
        </w:rPr>
      </w:pPr>
    </w:p>
    <w:p w14:paraId="2C1E128A">
      <w:pPr>
        <w:pStyle w:val="16"/>
        <w:rPr>
          <w:rFonts w:hint="eastAsia"/>
          <w:color w:val="auto"/>
          <w:highlight w:val="none"/>
        </w:rPr>
      </w:pPr>
    </w:p>
    <w:p w14:paraId="50BAF197">
      <w:pPr>
        <w:pStyle w:val="16"/>
        <w:rPr>
          <w:rFonts w:hint="eastAsia"/>
          <w:color w:val="auto"/>
          <w:highlight w:val="none"/>
        </w:rPr>
      </w:pPr>
    </w:p>
    <w:p w14:paraId="31E32D73">
      <w:pPr>
        <w:pStyle w:val="16"/>
        <w:rPr>
          <w:rFonts w:hint="eastAsia"/>
          <w:color w:val="auto"/>
          <w:highlight w:val="none"/>
        </w:rPr>
      </w:pPr>
    </w:p>
    <w:p w14:paraId="10158A17">
      <w:pPr>
        <w:pStyle w:val="4"/>
        <w:keepNext w:val="0"/>
        <w:keepLines w:val="0"/>
        <w:jc w:val="center"/>
        <w:rPr>
          <w:rFonts w:asciiTheme="majorEastAsia" w:hAnsiTheme="majorEastAsia" w:eastAsiaTheme="majorEastAsia"/>
          <w:color w:val="auto"/>
          <w:szCs w:val="36"/>
          <w:highlight w:val="none"/>
        </w:rPr>
      </w:pPr>
      <w:r>
        <w:rPr>
          <w:rFonts w:hint="eastAsia" w:asciiTheme="majorEastAsia" w:hAnsiTheme="majorEastAsia" w:eastAsiaTheme="majorEastAsia"/>
          <w:color w:val="auto"/>
          <w:szCs w:val="36"/>
          <w:highlight w:val="none"/>
        </w:rPr>
        <w:t>格式</w:t>
      </w:r>
      <w:r>
        <w:rPr>
          <w:rFonts w:hint="eastAsia" w:asciiTheme="majorEastAsia" w:hAnsiTheme="majorEastAsia" w:eastAsiaTheme="majorEastAsia"/>
          <w:color w:val="auto"/>
          <w:szCs w:val="36"/>
          <w:highlight w:val="none"/>
          <w:lang w:val="en-US" w:eastAsia="zh-CN"/>
        </w:rPr>
        <w:t>三</w:t>
      </w:r>
      <w:r>
        <w:rPr>
          <w:rFonts w:hint="eastAsia" w:asciiTheme="majorEastAsia" w:hAnsiTheme="majorEastAsia" w:eastAsiaTheme="majorEastAsia"/>
          <w:color w:val="auto"/>
          <w:szCs w:val="36"/>
          <w:highlight w:val="none"/>
        </w:rPr>
        <w:t xml:space="preserve"> </w:t>
      </w:r>
      <w:r>
        <w:rPr>
          <w:rFonts w:asciiTheme="majorEastAsia" w:hAnsiTheme="majorEastAsia" w:eastAsiaTheme="majorEastAsia"/>
          <w:color w:val="auto"/>
          <w:szCs w:val="36"/>
          <w:highlight w:val="none"/>
        </w:rPr>
        <w:t xml:space="preserve">  </w:t>
      </w:r>
      <w:r>
        <w:rPr>
          <w:rFonts w:hint="eastAsia" w:asciiTheme="majorEastAsia" w:hAnsiTheme="majorEastAsia" w:eastAsiaTheme="majorEastAsia"/>
          <w:color w:val="auto"/>
          <w:szCs w:val="36"/>
          <w:highlight w:val="none"/>
        </w:rPr>
        <w:t>资格性、符合性响应表</w:t>
      </w:r>
    </w:p>
    <w:p w14:paraId="53E58DD6">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eastAsia="宋体" w:cs="宋体"/>
          <w:b/>
          <w:color w:val="auto"/>
          <w:sz w:val="24"/>
          <w:highlight w:val="none"/>
          <w:lang w:eastAsia="zh-CN"/>
        </w:rPr>
        <w:t>【</w:t>
      </w:r>
      <w:r>
        <w:rPr>
          <w:rFonts w:hint="eastAsia" w:cs="宋体"/>
          <w:color w:val="auto"/>
          <w:sz w:val="24"/>
          <w:szCs w:val="24"/>
          <w:highlight w:val="none"/>
          <w:lang w:val="en-US" w:eastAsia="zh-CN"/>
        </w:rPr>
        <w:t>厦航大兴机场基地2026年普通车油料采购——**区域</w:t>
      </w:r>
      <w:r>
        <w:rPr>
          <w:rFonts w:hint="eastAsia" w:ascii="宋体" w:hAnsi="宋体" w:eastAsia="宋体" w:cs="宋体"/>
          <w:b/>
          <w:color w:val="auto"/>
          <w:sz w:val="24"/>
          <w:highlight w:val="none"/>
          <w:lang w:eastAsia="zh-CN"/>
        </w:rPr>
        <w:t>】</w:t>
      </w:r>
    </w:p>
    <w:tbl>
      <w:tblPr>
        <w:tblStyle w:val="38"/>
        <w:tblpPr w:leftFromText="180" w:rightFromText="180" w:vertAnchor="text" w:horzAnchor="page" w:tblpX="1249" w:tblpY="248"/>
        <w:tblOverlap w:val="never"/>
        <w:tblW w:w="92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338"/>
        <w:gridCol w:w="3100"/>
        <w:gridCol w:w="2345"/>
        <w:gridCol w:w="1656"/>
      </w:tblGrid>
      <w:tr w14:paraId="7F8E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23B7951B">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序号</w:t>
            </w:r>
          </w:p>
        </w:tc>
        <w:tc>
          <w:tcPr>
            <w:tcW w:w="1338" w:type="dxa"/>
            <w:vAlign w:val="center"/>
          </w:tcPr>
          <w:p w14:paraId="393E5F5A">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项目</w:t>
            </w:r>
          </w:p>
        </w:tc>
        <w:tc>
          <w:tcPr>
            <w:tcW w:w="3100" w:type="dxa"/>
            <w:vAlign w:val="center"/>
          </w:tcPr>
          <w:p w14:paraId="5BA4261D">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具体内容</w:t>
            </w:r>
          </w:p>
        </w:tc>
        <w:tc>
          <w:tcPr>
            <w:tcW w:w="2345" w:type="dxa"/>
            <w:vAlign w:val="center"/>
          </w:tcPr>
          <w:p w14:paraId="69FEC44D">
            <w:pPr>
              <w:keepNext w:val="0"/>
              <w:keepLines w:val="0"/>
              <w:suppressLineNumbers w:val="0"/>
              <w:spacing w:before="0" w:beforeAutospacing="0" w:after="0" w:afterAutospacing="0"/>
              <w:ind w:left="0" w:right="0"/>
              <w:jc w:val="center"/>
              <w:rPr>
                <w:rFonts w:hint="default" w:eastAsia="宋体"/>
                <w:b/>
                <w:color w:val="auto"/>
                <w:highlight w:val="none"/>
                <w:lang w:val="en-US" w:eastAsia="zh-CN"/>
              </w:rPr>
            </w:pPr>
            <w:r>
              <w:rPr>
                <w:rFonts w:hint="eastAsia"/>
                <w:b/>
                <w:color w:val="auto"/>
                <w:highlight w:val="none"/>
                <w:lang w:val="en-US" w:eastAsia="zh-CN"/>
              </w:rPr>
              <w:t>证明材料</w:t>
            </w:r>
          </w:p>
        </w:tc>
        <w:tc>
          <w:tcPr>
            <w:tcW w:w="1656" w:type="dxa"/>
            <w:vAlign w:val="center"/>
          </w:tcPr>
          <w:p w14:paraId="3353B69A">
            <w:pPr>
              <w:keepNext w:val="0"/>
              <w:keepLines w:val="0"/>
              <w:suppressLineNumbers w:val="0"/>
              <w:spacing w:before="0" w:beforeAutospacing="0" w:after="0" w:afterAutospacing="0"/>
              <w:ind w:left="0" w:right="0"/>
              <w:jc w:val="center"/>
              <w:rPr>
                <w:rFonts w:hint="default"/>
                <w:b/>
                <w:color w:val="auto"/>
                <w:highlight w:val="none"/>
              </w:rPr>
            </w:pPr>
            <w:r>
              <w:rPr>
                <w:rFonts w:hint="eastAsia"/>
                <w:b/>
                <w:color w:val="auto"/>
                <w:highlight w:val="none"/>
              </w:rPr>
              <w:t>响应/偏离</w:t>
            </w:r>
          </w:p>
        </w:tc>
      </w:tr>
      <w:tr w14:paraId="4FD7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1A279D67">
            <w:pPr>
              <w:keepNext w:val="0"/>
              <w:keepLines w:val="0"/>
              <w:suppressLineNumbers w:val="0"/>
              <w:spacing w:before="0" w:beforeAutospacing="0" w:after="0" w:afterAutospacing="0"/>
              <w:ind w:left="0" w:right="0"/>
              <w:jc w:val="center"/>
              <w:rPr>
                <w:rFonts w:hint="eastAsia"/>
                <w:color w:val="auto"/>
                <w:highlight w:val="none"/>
              </w:rPr>
            </w:pPr>
            <w:r>
              <w:rPr>
                <w:rFonts w:hint="eastAsia"/>
                <w:color w:val="auto"/>
                <w:highlight w:val="none"/>
              </w:rPr>
              <w:t>1</w:t>
            </w:r>
          </w:p>
        </w:tc>
        <w:tc>
          <w:tcPr>
            <w:tcW w:w="1338" w:type="dxa"/>
            <w:vMerge w:val="restart"/>
            <w:vAlign w:val="center"/>
          </w:tcPr>
          <w:p w14:paraId="7E67977D">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资格性条件</w:t>
            </w:r>
          </w:p>
        </w:tc>
        <w:tc>
          <w:tcPr>
            <w:tcW w:w="3100" w:type="dxa"/>
            <w:vAlign w:val="center"/>
          </w:tcPr>
          <w:p w14:paraId="4CB42741">
            <w:pPr>
              <w:keepNext w:val="0"/>
              <w:keepLines w:val="0"/>
              <w:suppressLineNumbers w:val="0"/>
              <w:spacing w:before="0" w:beforeAutospacing="0" w:after="0" w:afterAutospacing="0"/>
              <w:ind w:left="0" w:right="0"/>
              <w:jc w:val="both"/>
              <w:rPr>
                <w:rFonts w:hint="default" w:asciiTheme="minorHAnsi" w:hAnsiTheme="minorHAnsi" w:eastAsiaTheme="minorEastAsia" w:cstheme="minorBidi"/>
                <w:color w:val="auto"/>
                <w:kern w:val="2"/>
                <w:sz w:val="21"/>
                <w:szCs w:val="24"/>
                <w:highlight w:val="none"/>
                <w:lang w:val="en-US" w:eastAsia="zh-CN" w:bidi="ar-SA"/>
              </w:rPr>
            </w:pPr>
            <w:r>
              <w:rPr>
                <w:rFonts w:hint="default"/>
                <w:color w:val="auto"/>
                <w:highlight w:val="none"/>
              </w:rPr>
              <w:t>具有法人资格或者具有独立承担民事责任的能力</w:t>
            </w:r>
          </w:p>
        </w:tc>
        <w:tc>
          <w:tcPr>
            <w:tcW w:w="2345" w:type="dxa"/>
            <w:vAlign w:val="center"/>
          </w:tcPr>
          <w:p w14:paraId="65FD6779">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eastAsia="宋体"/>
                <w:color w:val="auto"/>
                <w:highlight w:val="none"/>
              </w:rPr>
              <w:t>提供有效的营业执照复印件</w:t>
            </w:r>
          </w:p>
        </w:tc>
        <w:tc>
          <w:tcPr>
            <w:tcW w:w="1656" w:type="dxa"/>
            <w:vAlign w:val="center"/>
          </w:tcPr>
          <w:p w14:paraId="36236CB1">
            <w:pPr>
              <w:keepNext w:val="0"/>
              <w:keepLines w:val="0"/>
              <w:suppressLineNumbers w:val="0"/>
              <w:spacing w:before="0" w:beforeAutospacing="0" w:after="0" w:afterAutospacing="0"/>
              <w:ind w:left="0" w:right="0"/>
              <w:jc w:val="both"/>
              <w:rPr>
                <w:rFonts w:hint="default"/>
                <w:color w:val="auto"/>
                <w:highlight w:val="none"/>
              </w:rPr>
            </w:pPr>
          </w:p>
        </w:tc>
      </w:tr>
      <w:tr w14:paraId="2DAD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169F46C2">
            <w:pPr>
              <w:keepNext w:val="0"/>
              <w:keepLines w:val="0"/>
              <w:suppressLineNumbers w:val="0"/>
              <w:spacing w:before="0" w:beforeAutospacing="0" w:after="0" w:afterAutospacing="0"/>
              <w:ind w:left="0" w:right="0"/>
              <w:jc w:val="center"/>
              <w:rPr>
                <w:rFonts w:hint="eastAsia" w:eastAsiaTheme="minorEastAsia"/>
                <w:color w:val="auto"/>
                <w:highlight w:val="none"/>
                <w:lang w:val="en-US" w:eastAsia="zh-CN"/>
              </w:rPr>
            </w:pPr>
            <w:r>
              <w:rPr>
                <w:rFonts w:hint="eastAsia"/>
                <w:color w:val="auto"/>
                <w:highlight w:val="none"/>
                <w:lang w:val="en-US" w:eastAsia="zh-CN"/>
              </w:rPr>
              <w:t>2</w:t>
            </w:r>
          </w:p>
        </w:tc>
        <w:tc>
          <w:tcPr>
            <w:tcW w:w="1338" w:type="dxa"/>
            <w:vMerge w:val="continue"/>
            <w:vAlign w:val="center"/>
          </w:tcPr>
          <w:p w14:paraId="40377A47">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15A5BD5B">
            <w:pPr>
              <w:keepNext w:val="0"/>
              <w:keepLines w:val="0"/>
              <w:suppressLineNumbers w:val="0"/>
              <w:spacing w:before="0" w:beforeAutospacing="0" w:after="0" w:afterAutospacing="0"/>
              <w:ind w:left="0" w:right="0"/>
              <w:jc w:val="both"/>
              <w:rPr>
                <w:rFonts w:hint="default"/>
                <w:color w:val="auto"/>
                <w:highlight w:val="none"/>
              </w:rPr>
            </w:pPr>
            <w:r>
              <w:rPr>
                <w:rFonts w:hint="eastAsia"/>
                <w:color w:val="auto"/>
                <w:highlight w:val="none"/>
                <w:lang w:val="en-US" w:eastAsia="zh-CN"/>
              </w:rPr>
              <w:t>未被工商行政管理机关在全国企业信用信息公示系统中列入严重违法失信企业名单</w:t>
            </w:r>
          </w:p>
        </w:tc>
        <w:tc>
          <w:tcPr>
            <w:tcW w:w="2345" w:type="dxa"/>
            <w:vMerge w:val="restart"/>
            <w:vAlign w:val="center"/>
          </w:tcPr>
          <w:p w14:paraId="58E5C0AE">
            <w:pPr>
              <w:keepNext w:val="0"/>
              <w:keepLines w:val="0"/>
              <w:suppressLineNumbers w:val="0"/>
              <w:spacing w:before="0" w:beforeAutospacing="0" w:after="0" w:afterAutospacing="0"/>
              <w:ind w:left="0" w:right="0"/>
              <w:jc w:val="both"/>
              <w:rPr>
                <w:rFonts w:hint="default"/>
                <w:color w:val="auto"/>
                <w:highlight w:val="none"/>
                <w:lang w:val="en-US"/>
              </w:rPr>
            </w:pPr>
            <w:r>
              <w:rPr>
                <w:rFonts w:hint="eastAsia" w:ascii="宋体" w:hAnsi="宋体" w:eastAsia="宋体" w:cs="Arial"/>
                <w:bCs/>
                <w:color w:val="auto"/>
                <w:kern w:val="2"/>
                <w:sz w:val="21"/>
                <w:szCs w:val="21"/>
                <w:highlight w:val="none"/>
                <w:lang w:val="en-US" w:eastAsia="zh-CN" w:bidi="ar-SA"/>
              </w:rPr>
              <w:t>以</w:t>
            </w:r>
            <w:r>
              <w:rPr>
                <w:rFonts w:hint="eastAsia" w:cs="Arial"/>
                <w:bCs/>
                <w:color w:val="auto"/>
                <w:kern w:val="2"/>
                <w:sz w:val="21"/>
                <w:szCs w:val="21"/>
                <w:highlight w:val="none"/>
                <w:lang w:val="en-US" w:eastAsia="zh-CN" w:bidi="ar-SA"/>
              </w:rPr>
              <w:t>评审</w:t>
            </w:r>
            <w:r>
              <w:rPr>
                <w:rFonts w:hint="eastAsia" w:ascii="宋体" w:hAnsi="宋体" w:eastAsia="宋体" w:cs="Arial"/>
                <w:bCs/>
                <w:color w:val="auto"/>
                <w:kern w:val="2"/>
                <w:sz w:val="21"/>
                <w:szCs w:val="21"/>
                <w:highlight w:val="none"/>
                <w:lang w:val="en-US" w:eastAsia="zh-CN" w:bidi="ar-SA"/>
              </w:rPr>
              <w:t>当日在全国企业信用信息公示系统、信用中国网站查询结果为准，</w:t>
            </w:r>
            <w:r>
              <w:rPr>
                <w:rFonts w:hint="eastAsia" w:cs="Arial"/>
                <w:bCs/>
                <w:color w:val="auto"/>
                <w:kern w:val="2"/>
                <w:sz w:val="21"/>
                <w:szCs w:val="21"/>
                <w:highlight w:val="none"/>
                <w:lang w:val="en-US" w:eastAsia="zh-CN" w:bidi="ar-SA"/>
              </w:rPr>
              <w:t>供应商响应</w:t>
            </w:r>
            <w:r>
              <w:rPr>
                <w:rFonts w:hint="eastAsia" w:ascii="宋体" w:hAnsi="宋体" w:eastAsia="宋体" w:cs="Arial"/>
                <w:bCs/>
                <w:color w:val="auto"/>
                <w:kern w:val="2"/>
                <w:sz w:val="21"/>
                <w:szCs w:val="21"/>
                <w:highlight w:val="none"/>
                <w:lang w:val="en-US" w:eastAsia="zh-CN" w:bidi="ar-SA"/>
              </w:rPr>
              <w:t xml:space="preserve">时无须提供相关证明 </w:t>
            </w:r>
          </w:p>
        </w:tc>
        <w:tc>
          <w:tcPr>
            <w:tcW w:w="1656" w:type="dxa"/>
            <w:vAlign w:val="center"/>
          </w:tcPr>
          <w:p w14:paraId="688EB729">
            <w:pPr>
              <w:keepNext w:val="0"/>
              <w:keepLines w:val="0"/>
              <w:suppressLineNumbers w:val="0"/>
              <w:spacing w:before="0" w:beforeAutospacing="0" w:after="0" w:afterAutospacing="0"/>
              <w:ind w:left="0" w:right="0"/>
              <w:jc w:val="both"/>
              <w:rPr>
                <w:rFonts w:hint="default"/>
                <w:color w:val="auto"/>
                <w:highlight w:val="none"/>
              </w:rPr>
            </w:pPr>
          </w:p>
        </w:tc>
      </w:tr>
      <w:tr w14:paraId="7406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1C94BF16">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3</w:t>
            </w:r>
          </w:p>
        </w:tc>
        <w:tc>
          <w:tcPr>
            <w:tcW w:w="1338" w:type="dxa"/>
            <w:vMerge w:val="continue"/>
            <w:vAlign w:val="center"/>
          </w:tcPr>
          <w:p w14:paraId="2ACFAA35">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5E8829F3">
            <w:pPr>
              <w:keepNext w:val="0"/>
              <w:keepLines w:val="0"/>
              <w:suppressLineNumbers w:val="0"/>
              <w:spacing w:before="0" w:beforeAutospacing="0" w:after="0" w:afterAutospacing="0"/>
              <w:ind w:left="0" w:right="0"/>
              <w:jc w:val="left"/>
              <w:rPr>
                <w:rFonts w:hint="eastAsia"/>
                <w:color w:val="auto"/>
                <w:highlight w:val="none"/>
                <w:lang w:val="en-US" w:eastAsia="zh-CN"/>
              </w:rPr>
            </w:pPr>
            <w:r>
              <w:rPr>
                <w:rFonts w:hint="eastAsia"/>
                <w:color w:val="auto"/>
                <w:highlight w:val="none"/>
                <w:lang w:val="en-US" w:eastAsia="zh-CN"/>
              </w:rPr>
              <w:t>未被最高人民法院在“信用中国”网站（www.creditchina.gov.cn）或各级信用信息共享平台中列入失信被执行人名单</w:t>
            </w:r>
          </w:p>
        </w:tc>
        <w:tc>
          <w:tcPr>
            <w:tcW w:w="2345" w:type="dxa"/>
            <w:vMerge w:val="continue"/>
            <w:vAlign w:val="center"/>
          </w:tcPr>
          <w:p w14:paraId="1B3B0801">
            <w:pPr>
              <w:keepNext w:val="0"/>
              <w:keepLines w:val="0"/>
              <w:suppressLineNumbers w:val="0"/>
              <w:spacing w:before="0" w:beforeAutospacing="0" w:after="0" w:afterAutospacing="0"/>
              <w:ind w:left="0" w:right="0"/>
              <w:jc w:val="both"/>
              <w:rPr>
                <w:rFonts w:hint="eastAsia"/>
                <w:color w:val="auto"/>
                <w:highlight w:val="none"/>
              </w:rPr>
            </w:pPr>
          </w:p>
        </w:tc>
        <w:tc>
          <w:tcPr>
            <w:tcW w:w="1656" w:type="dxa"/>
            <w:vAlign w:val="center"/>
          </w:tcPr>
          <w:p w14:paraId="54AE2E43">
            <w:pPr>
              <w:keepNext w:val="0"/>
              <w:keepLines w:val="0"/>
              <w:suppressLineNumbers w:val="0"/>
              <w:spacing w:before="0" w:beforeAutospacing="0" w:after="0" w:afterAutospacing="0"/>
              <w:ind w:left="0" w:right="0"/>
              <w:jc w:val="both"/>
              <w:rPr>
                <w:rFonts w:hint="default"/>
                <w:color w:val="auto"/>
                <w:highlight w:val="none"/>
              </w:rPr>
            </w:pPr>
          </w:p>
        </w:tc>
      </w:tr>
      <w:tr w14:paraId="4030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7AA00B7E">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4</w:t>
            </w:r>
          </w:p>
        </w:tc>
        <w:tc>
          <w:tcPr>
            <w:tcW w:w="1338" w:type="dxa"/>
            <w:vMerge w:val="continue"/>
            <w:vAlign w:val="center"/>
          </w:tcPr>
          <w:p w14:paraId="706F3C4D">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0EB8C16F">
            <w:pPr>
              <w:keepNext w:val="0"/>
              <w:keepLines w:val="0"/>
              <w:suppressLineNumbers w:val="0"/>
              <w:spacing w:before="0" w:beforeAutospacing="0" w:after="0" w:afterAutospacing="0"/>
              <w:ind w:left="0" w:right="0"/>
              <w:jc w:val="both"/>
              <w:rPr>
                <w:rFonts w:hint="eastAsia"/>
                <w:color w:val="auto"/>
                <w:highlight w:val="none"/>
                <w:lang w:val="en-US" w:eastAsia="zh-CN"/>
              </w:rPr>
            </w:pPr>
            <w:r>
              <w:rPr>
                <w:rFonts w:hint="eastAsia"/>
                <w:color w:val="auto"/>
                <w:highlight w:val="none"/>
                <w:lang w:val="en-US" w:eastAsia="zh-CN"/>
              </w:rPr>
              <w:t>未被列入采购人《供应商黑名单》或被采购人处罚不得参与采购项目</w:t>
            </w:r>
          </w:p>
        </w:tc>
        <w:tc>
          <w:tcPr>
            <w:tcW w:w="2345" w:type="dxa"/>
            <w:vAlign w:val="center"/>
          </w:tcPr>
          <w:p w14:paraId="44EC50FE">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w:t>
            </w:r>
          </w:p>
        </w:tc>
        <w:tc>
          <w:tcPr>
            <w:tcW w:w="1656" w:type="dxa"/>
            <w:vAlign w:val="center"/>
          </w:tcPr>
          <w:p w14:paraId="5CBFA26C">
            <w:pPr>
              <w:keepNext w:val="0"/>
              <w:keepLines w:val="0"/>
              <w:suppressLineNumbers w:val="0"/>
              <w:spacing w:before="0" w:beforeAutospacing="0" w:after="0" w:afterAutospacing="0"/>
              <w:ind w:left="0" w:right="0"/>
              <w:jc w:val="both"/>
              <w:rPr>
                <w:rFonts w:hint="default"/>
                <w:color w:val="auto"/>
                <w:highlight w:val="none"/>
              </w:rPr>
            </w:pPr>
          </w:p>
        </w:tc>
      </w:tr>
      <w:tr w14:paraId="2226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5668BAB7">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5</w:t>
            </w:r>
          </w:p>
        </w:tc>
        <w:tc>
          <w:tcPr>
            <w:tcW w:w="1338" w:type="dxa"/>
            <w:vMerge w:val="continue"/>
            <w:vAlign w:val="center"/>
          </w:tcPr>
          <w:p w14:paraId="48E36157">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2D2A336A">
            <w:pPr>
              <w:keepNext w:val="0"/>
              <w:keepLines w:val="0"/>
              <w:suppressLineNumbers w:val="0"/>
              <w:spacing w:before="0" w:beforeAutospacing="0" w:after="0" w:afterAutospacing="0"/>
              <w:ind w:left="0" w:right="0"/>
              <w:jc w:val="both"/>
              <w:rPr>
                <w:rFonts w:hint="eastAsia"/>
                <w:bCs/>
                <w:color w:val="auto"/>
                <w:highlight w:val="none"/>
                <w:lang w:val="en-US" w:eastAsia="zh-CN"/>
              </w:rPr>
            </w:pPr>
            <w:r>
              <w:rPr>
                <w:rFonts w:hint="default"/>
                <w:color w:val="auto"/>
                <w:highlight w:val="none"/>
              </w:rPr>
              <w:t>提供正规的增值税专用发票</w:t>
            </w:r>
          </w:p>
        </w:tc>
        <w:tc>
          <w:tcPr>
            <w:tcW w:w="2345" w:type="dxa"/>
            <w:vAlign w:val="center"/>
          </w:tcPr>
          <w:p w14:paraId="3F44505C">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承诺函</w:t>
            </w:r>
          </w:p>
        </w:tc>
        <w:tc>
          <w:tcPr>
            <w:tcW w:w="1656" w:type="dxa"/>
            <w:vAlign w:val="center"/>
          </w:tcPr>
          <w:p w14:paraId="7DB129DA">
            <w:pPr>
              <w:keepNext w:val="0"/>
              <w:keepLines w:val="0"/>
              <w:suppressLineNumbers w:val="0"/>
              <w:spacing w:before="0" w:beforeAutospacing="0" w:after="0" w:afterAutospacing="0"/>
              <w:ind w:left="0" w:right="0"/>
              <w:jc w:val="both"/>
              <w:rPr>
                <w:rFonts w:hint="default"/>
                <w:color w:val="auto"/>
                <w:highlight w:val="none"/>
              </w:rPr>
            </w:pPr>
          </w:p>
        </w:tc>
      </w:tr>
      <w:tr w14:paraId="27B0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47DA1C81">
            <w:pPr>
              <w:keepNext w:val="0"/>
              <w:keepLines w:val="0"/>
              <w:suppressLineNumbers w:val="0"/>
              <w:spacing w:before="0" w:beforeAutospacing="0" w:after="0" w:afterAutospacing="0"/>
              <w:ind w:left="0" w:right="0"/>
              <w:jc w:val="center"/>
              <w:rPr>
                <w:rFonts w:hint="eastAsia" w:eastAsia="宋体"/>
                <w:color w:val="auto"/>
                <w:highlight w:val="none"/>
                <w:lang w:eastAsia="zh-CN"/>
              </w:rPr>
            </w:pPr>
            <w:r>
              <w:rPr>
                <w:rFonts w:hint="eastAsia"/>
                <w:color w:val="auto"/>
                <w:highlight w:val="none"/>
                <w:lang w:val="en-US" w:eastAsia="zh-CN"/>
              </w:rPr>
              <w:t>6</w:t>
            </w:r>
          </w:p>
        </w:tc>
        <w:tc>
          <w:tcPr>
            <w:tcW w:w="1338" w:type="dxa"/>
            <w:vMerge w:val="continue"/>
            <w:vAlign w:val="center"/>
          </w:tcPr>
          <w:p w14:paraId="039372D0">
            <w:pPr>
              <w:keepNext w:val="0"/>
              <w:keepLines w:val="0"/>
              <w:suppressLineNumbers w:val="0"/>
              <w:spacing w:before="0" w:beforeAutospacing="0" w:after="0" w:afterAutospacing="0"/>
              <w:ind w:left="0" w:right="0"/>
              <w:jc w:val="center"/>
              <w:rPr>
                <w:rFonts w:hint="default"/>
                <w:color w:val="auto"/>
                <w:highlight w:val="none"/>
              </w:rPr>
            </w:pPr>
          </w:p>
        </w:tc>
        <w:tc>
          <w:tcPr>
            <w:tcW w:w="3100" w:type="dxa"/>
            <w:vAlign w:val="center"/>
          </w:tcPr>
          <w:p w14:paraId="32E33C64">
            <w:pPr>
              <w:keepNext w:val="0"/>
              <w:keepLines w:val="0"/>
              <w:suppressLineNumbers w:val="0"/>
              <w:spacing w:before="0" w:beforeAutospacing="0" w:after="0" w:afterAutospacing="0"/>
              <w:ind w:left="0" w:right="0"/>
              <w:jc w:val="both"/>
              <w:rPr>
                <w:rFonts w:hint="default" w:eastAsiaTheme="minorEastAsia"/>
                <w:color w:val="auto"/>
                <w:highlight w:val="none"/>
                <w:lang w:val="en-US" w:eastAsia="zh-CN"/>
              </w:rPr>
            </w:pPr>
            <w:r>
              <w:rPr>
                <w:rFonts w:hint="eastAsia"/>
                <w:color w:val="auto"/>
                <w:highlight w:val="none"/>
                <w:lang w:val="en-US" w:eastAsia="zh-CN"/>
              </w:rPr>
              <w:t>持有《成品油零售经营批准证书》、《危险化学品经营许可证》</w:t>
            </w:r>
          </w:p>
        </w:tc>
        <w:tc>
          <w:tcPr>
            <w:tcW w:w="2345" w:type="dxa"/>
            <w:vAlign w:val="center"/>
          </w:tcPr>
          <w:p w14:paraId="6A63A836">
            <w:pPr>
              <w:keepNext w:val="0"/>
              <w:keepLines w:val="0"/>
              <w:suppressLineNumbers w:val="0"/>
              <w:spacing w:before="0" w:beforeAutospacing="0" w:after="0" w:afterAutospacing="0"/>
              <w:ind w:left="0" w:right="0"/>
              <w:jc w:val="center"/>
              <w:rPr>
                <w:rFonts w:hint="default" w:eastAsiaTheme="minorEastAsia"/>
                <w:color w:val="auto"/>
                <w:highlight w:val="none"/>
                <w:lang w:val="en-US" w:eastAsia="zh-CN"/>
              </w:rPr>
            </w:pPr>
            <w:r>
              <w:rPr>
                <w:rFonts w:hint="eastAsia"/>
                <w:color w:val="auto"/>
                <w:highlight w:val="none"/>
                <w:lang w:val="en-US" w:eastAsia="zh-CN"/>
              </w:rPr>
              <w:t>相关证书复印件</w:t>
            </w:r>
          </w:p>
        </w:tc>
        <w:tc>
          <w:tcPr>
            <w:tcW w:w="1656" w:type="dxa"/>
            <w:vAlign w:val="center"/>
          </w:tcPr>
          <w:p w14:paraId="6E8308D3">
            <w:pPr>
              <w:keepNext w:val="0"/>
              <w:keepLines w:val="0"/>
              <w:suppressLineNumbers w:val="0"/>
              <w:spacing w:before="0" w:beforeAutospacing="0" w:after="0" w:afterAutospacing="0"/>
              <w:ind w:left="0" w:right="0"/>
              <w:jc w:val="both"/>
              <w:rPr>
                <w:rFonts w:hint="default"/>
                <w:color w:val="auto"/>
                <w:highlight w:val="none"/>
              </w:rPr>
            </w:pPr>
          </w:p>
        </w:tc>
      </w:tr>
      <w:tr w14:paraId="3DA1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4" w:type="dxa"/>
            <w:vAlign w:val="center"/>
          </w:tcPr>
          <w:p w14:paraId="2DDFA434">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7</w:t>
            </w:r>
          </w:p>
        </w:tc>
        <w:tc>
          <w:tcPr>
            <w:tcW w:w="1338" w:type="dxa"/>
            <w:vAlign w:val="center"/>
          </w:tcPr>
          <w:p w14:paraId="4C6A2DE8">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符合性条件</w:t>
            </w:r>
          </w:p>
        </w:tc>
        <w:tc>
          <w:tcPr>
            <w:tcW w:w="3100" w:type="dxa"/>
            <w:vAlign w:val="center"/>
          </w:tcPr>
          <w:p w14:paraId="648B4BD1">
            <w:pPr>
              <w:keepNext w:val="0"/>
              <w:keepLines w:val="0"/>
              <w:suppressLineNumbers w:val="0"/>
              <w:spacing w:before="0" w:beforeAutospacing="0" w:after="0" w:afterAutospacing="0"/>
              <w:ind w:left="0" w:right="0"/>
              <w:jc w:val="both"/>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rPr>
              <w:t>响应文件保持完整、密封</w:t>
            </w:r>
          </w:p>
        </w:tc>
        <w:tc>
          <w:tcPr>
            <w:tcW w:w="2345" w:type="dxa"/>
            <w:vAlign w:val="center"/>
          </w:tcPr>
          <w:p w14:paraId="17B66FAA">
            <w:pPr>
              <w:keepNext w:val="0"/>
              <w:keepLines w:val="0"/>
              <w:suppressLineNumbers w:val="0"/>
              <w:spacing w:before="0" w:beforeAutospacing="0" w:after="0" w:afterAutospacing="0"/>
              <w:ind w:left="0" w:right="0"/>
              <w:jc w:val="center"/>
              <w:rPr>
                <w:rFonts w:hint="eastAsia" w:asciiTheme="minorHAnsi" w:hAnsiTheme="minorHAnsi" w:eastAsiaTheme="minorEastAsia" w:cstheme="minorBidi"/>
                <w:color w:val="auto"/>
                <w:kern w:val="2"/>
                <w:sz w:val="21"/>
                <w:szCs w:val="24"/>
                <w:highlight w:val="none"/>
                <w:lang w:val="en-US" w:eastAsia="zh-CN" w:bidi="ar-SA"/>
              </w:rPr>
            </w:pPr>
            <w:r>
              <w:rPr>
                <w:rFonts w:hint="eastAsia"/>
                <w:b w:val="0"/>
                <w:bCs/>
                <w:color w:val="auto"/>
                <w:sz w:val="21"/>
                <w:szCs w:val="21"/>
                <w:highlight w:val="none"/>
                <w:lang w:val="en-US" w:eastAsia="zh-CN"/>
              </w:rPr>
              <w:t>密封响应文件</w:t>
            </w:r>
          </w:p>
        </w:tc>
        <w:tc>
          <w:tcPr>
            <w:tcW w:w="1656" w:type="dxa"/>
            <w:vAlign w:val="center"/>
          </w:tcPr>
          <w:p w14:paraId="0BCDC82A">
            <w:pPr>
              <w:keepNext w:val="0"/>
              <w:keepLines w:val="0"/>
              <w:suppressLineNumbers w:val="0"/>
              <w:spacing w:before="0" w:beforeAutospacing="0" w:after="0" w:afterAutospacing="0"/>
              <w:ind w:left="0" w:right="0"/>
              <w:jc w:val="both"/>
              <w:rPr>
                <w:rFonts w:hint="default"/>
                <w:color w:val="auto"/>
                <w:highlight w:val="none"/>
              </w:rPr>
            </w:pPr>
          </w:p>
        </w:tc>
      </w:tr>
    </w:tbl>
    <w:p w14:paraId="34C5EE27">
      <w:pPr>
        <w:keepNext w:val="0"/>
        <w:keepLines w:val="0"/>
        <w:pageBreakBefore w:val="0"/>
        <w:widowControl w:val="0"/>
        <w:kinsoku/>
        <w:wordWrap/>
        <w:overflowPunct/>
        <w:topLinePunct w:val="0"/>
        <w:autoSpaceDE/>
        <w:autoSpaceDN/>
        <w:bidi w:val="0"/>
        <w:adjustRightInd/>
        <w:snapToGrid/>
        <w:spacing w:line="420" w:lineRule="exact"/>
        <w:ind w:firstLine="3570" w:firstLineChars="1700"/>
        <w:jc w:val="both"/>
        <w:textAlignment w:val="auto"/>
        <w:rPr>
          <w:rFonts w:hint="eastAsia"/>
          <w:color w:val="auto"/>
          <w:highlight w:val="none"/>
        </w:rPr>
      </w:pPr>
    </w:p>
    <w:p w14:paraId="725F90C1">
      <w:pPr>
        <w:keepNext w:val="0"/>
        <w:keepLines w:val="0"/>
        <w:pageBreakBefore w:val="0"/>
        <w:widowControl w:val="0"/>
        <w:kinsoku/>
        <w:wordWrap/>
        <w:overflowPunct/>
        <w:topLinePunct w:val="0"/>
        <w:autoSpaceDE/>
        <w:autoSpaceDN/>
        <w:bidi w:val="0"/>
        <w:adjustRightInd/>
        <w:snapToGrid/>
        <w:spacing w:line="420" w:lineRule="exact"/>
        <w:ind w:firstLine="3570" w:firstLineChars="1700"/>
        <w:jc w:val="both"/>
        <w:textAlignment w:val="auto"/>
        <w:rPr>
          <w:rFonts w:hint="eastAsia"/>
          <w:color w:val="auto"/>
          <w:highlight w:val="none"/>
        </w:rPr>
      </w:pPr>
    </w:p>
    <w:p w14:paraId="6BF524AD">
      <w:pPr>
        <w:keepNext w:val="0"/>
        <w:keepLines w:val="0"/>
        <w:pageBreakBefore w:val="0"/>
        <w:widowControl w:val="0"/>
        <w:kinsoku/>
        <w:wordWrap/>
        <w:overflowPunct/>
        <w:topLinePunct w:val="0"/>
        <w:autoSpaceDE/>
        <w:autoSpaceDN/>
        <w:bidi w:val="0"/>
        <w:adjustRightInd/>
        <w:snapToGrid/>
        <w:spacing w:line="420" w:lineRule="exact"/>
        <w:ind w:firstLine="3570" w:firstLineChars="1700"/>
        <w:jc w:val="center"/>
        <w:textAlignment w:val="auto"/>
        <w:rPr>
          <w:rFonts w:hint="default" w:eastAsia="宋体"/>
          <w:color w:val="auto"/>
          <w:highlight w:val="none"/>
          <w:u w:val="single"/>
          <w:lang w:val="en-US" w:eastAsia="zh-CN"/>
        </w:rPr>
      </w:pPr>
      <w:r>
        <w:rPr>
          <w:rFonts w:hint="eastAsia"/>
          <w:color w:val="auto"/>
          <w:highlight w:val="none"/>
        </w:rPr>
        <w:t>供应商名称：（加盖公章</w:t>
      </w:r>
      <w:r>
        <w:rPr>
          <w:rFonts w:hint="eastAsia"/>
          <w:color w:val="auto"/>
          <w:highlight w:val="none"/>
          <w:lang w:eastAsia="zh-CN"/>
        </w:rPr>
        <w:t>）</w:t>
      </w:r>
    </w:p>
    <w:p w14:paraId="27344AB2">
      <w:pPr>
        <w:keepNext w:val="0"/>
        <w:keepLines w:val="0"/>
        <w:pageBreakBefore w:val="0"/>
        <w:widowControl w:val="0"/>
        <w:kinsoku/>
        <w:wordWrap/>
        <w:overflowPunct/>
        <w:topLinePunct w:val="0"/>
        <w:autoSpaceDE/>
        <w:autoSpaceDN/>
        <w:bidi w:val="0"/>
        <w:adjustRightInd/>
        <w:snapToGrid/>
        <w:spacing w:line="420" w:lineRule="exact"/>
        <w:ind w:firstLine="3570" w:firstLineChars="1700"/>
        <w:jc w:val="right"/>
        <w:textAlignment w:val="auto"/>
        <w:rPr>
          <w:rFonts w:hint="eastAsia"/>
          <w:color w:val="auto"/>
          <w:highlight w:val="none"/>
        </w:rPr>
      </w:pPr>
    </w:p>
    <w:p w14:paraId="6C40CFF4">
      <w:pPr>
        <w:keepNext w:val="0"/>
        <w:keepLines w:val="0"/>
        <w:pageBreakBefore w:val="0"/>
        <w:widowControl w:val="0"/>
        <w:kinsoku/>
        <w:wordWrap/>
        <w:overflowPunct/>
        <w:topLinePunct w:val="0"/>
        <w:autoSpaceDE/>
        <w:autoSpaceDN/>
        <w:bidi w:val="0"/>
        <w:adjustRightInd/>
        <w:snapToGrid/>
        <w:spacing w:line="420" w:lineRule="exact"/>
        <w:ind w:firstLine="3570" w:firstLineChars="1700"/>
        <w:jc w:val="center"/>
        <w:textAlignment w:val="auto"/>
        <w:rPr>
          <w:rFonts w:hint="default" w:eastAsia="宋体"/>
          <w:color w:val="auto"/>
          <w:highlight w:val="none"/>
          <w:u w:val="single"/>
          <w:lang w:val="en-US" w:eastAsia="zh-CN"/>
        </w:rPr>
      </w:pPr>
      <w:r>
        <w:rPr>
          <w:rFonts w:hint="eastAsia"/>
          <w:color w:val="auto"/>
          <w:highlight w:val="none"/>
          <w:lang w:val="en-US" w:eastAsia="zh-CN"/>
        </w:rPr>
        <w:t xml:space="preserve">      </w:t>
      </w:r>
      <w:r>
        <w:rPr>
          <w:rFonts w:hint="eastAsia"/>
          <w:color w:val="auto"/>
          <w:highlight w:val="none"/>
        </w:rPr>
        <w:t>法定代表人或</w:t>
      </w:r>
      <w:r>
        <w:rPr>
          <w:rFonts w:hint="eastAsia"/>
          <w:color w:val="auto"/>
          <w:highlight w:val="none"/>
          <w:lang w:val="en-US" w:eastAsia="zh-CN"/>
        </w:rPr>
        <w:t>授权</w:t>
      </w:r>
      <w:r>
        <w:rPr>
          <w:rFonts w:hint="eastAsia"/>
          <w:color w:val="auto"/>
          <w:highlight w:val="none"/>
        </w:rPr>
        <w:t>代表（签字）：</w:t>
      </w:r>
      <w:r>
        <w:rPr>
          <w:rFonts w:hint="eastAsia"/>
          <w:color w:val="auto"/>
          <w:highlight w:val="none"/>
          <w:lang w:val="en-US" w:eastAsia="zh-CN"/>
        </w:rPr>
        <w:t xml:space="preserve"> </w:t>
      </w:r>
    </w:p>
    <w:p w14:paraId="365998C2">
      <w:pPr>
        <w:pStyle w:val="2"/>
        <w:ind w:firstLine="3570" w:firstLineChars="1700"/>
        <w:jc w:val="right"/>
        <w:rPr>
          <w:rFonts w:hint="eastAsia"/>
          <w:color w:val="auto"/>
          <w:highlight w:val="none"/>
        </w:rPr>
      </w:pPr>
    </w:p>
    <w:p w14:paraId="0A94847A">
      <w:pPr>
        <w:pStyle w:val="2"/>
        <w:ind w:firstLine="3570" w:firstLineChars="1700"/>
        <w:jc w:val="center"/>
        <w:rPr>
          <w:rFonts w:hint="eastAsia"/>
          <w:color w:val="auto"/>
          <w:highlight w:val="none"/>
        </w:rPr>
      </w:pPr>
      <w:r>
        <w:rPr>
          <w:rFonts w:hint="eastAsia"/>
          <w:color w:val="auto"/>
          <w:highlight w:val="none"/>
        </w:rPr>
        <w:t>日期：</w:t>
      </w:r>
      <w:r>
        <w:rPr>
          <w:rFonts w:hint="eastAsia"/>
          <w:color w:val="auto"/>
          <w:highlight w:val="none"/>
          <w:lang w:val="en-US" w:eastAsia="zh-CN"/>
        </w:rPr>
        <w:t xml:space="preserve">    年    月    日</w:t>
      </w:r>
    </w:p>
    <w:p w14:paraId="013D4368">
      <w:pPr>
        <w:pStyle w:val="2"/>
        <w:rPr>
          <w:rFonts w:hint="eastAsia"/>
          <w:b/>
          <w:color w:val="auto"/>
          <w:highlight w:val="none"/>
          <w:u w:val="single"/>
          <w:lang w:val="en-US" w:eastAsia="zh-CN"/>
        </w:rPr>
      </w:pPr>
    </w:p>
    <w:p w14:paraId="47E9187C">
      <w:pPr>
        <w:pStyle w:val="2"/>
        <w:rPr>
          <w:rFonts w:hint="eastAsia"/>
          <w:b/>
          <w:color w:val="auto"/>
          <w:highlight w:val="none"/>
          <w:u w:val="single"/>
          <w:lang w:val="en-US" w:eastAsia="zh-CN"/>
        </w:rPr>
      </w:pPr>
    </w:p>
    <w:p w14:paraId="293DF460">
      <w:pPr>
        <w:pStyle w:val="2"/>
        <w:rPr>
          <w:rFonts w:hint="eastAsia"/>
          <w:b/>
          <w:color w:val="auto"/>
          <w:highlight w:val="none"/>
          <w:u w:val="single"/>
          <w:lang w:val="en-US" w:eastAsia="zh-CN"/>
        </w:rPr>
      </w:pPr>
    </w:p>
    <w:p w14:paraId="7C37F8C6">
      <w:pPr>
        <w:pStyle w:val="2"/>
        <w:rPr>
          <w:rFonts w:hint="default"/>
          <w:b/>
          <w:color w:val="auto"/>
          <w:highlight w:val="none"/>
          <w:u w:val="single"/>
          <w:lang w:val="en-US" w:eastAsia="zh-CN"/>
        </w:rPr>
      </w:pPr>
    </w:p>
    <w:p w14:paraId="0994FE63">
      <w:pPr>
        <w:pStyle w:val="46"/>
        <w:rPr>
          <w:rFonts w:hint="eastAsia"/>
          <w:color w:val="auto"/>
          <w:highlight w:val="none"/>
        </w:rPr>
      </w:pPr>
    </w:p>
    <w:p w14:paraId="0FE5B333">
      <w:pPr>
        <w:pStyle w:val="46"/>
        <w:rPr>
          <w:rFonts w:hint="eastAsia"/>
          <w:color w:val="auto"/>
          <w:highlight w:val="none"/>
        </w:rPr>
      </w:pPr>
    </w:p>
    <w:p w14:paraId="2947E88E">
      <w:pPr>
        <w:pStyle w:val="46"/>
        <w:rPr>
          <w:rFonts w:hint="eastAsia"/>
          <w:color w:val="auto"/>
          <w:highlight w:val="none"/>
        </w:rPr>
      </w:pPr>
    </w:p>
    <w:p w14:paraId="325E7931">
      <w:pPr>
        <w:pStyle w:val="46"/>
        <w:rPr>
          <w:rFonts w:hint="eastAsia"/>
          <w:color w:val="auto"/>
          <w:highlight w:val="none"/>
        </w:rPr>
      </w:pPr>
    </w:p>
    <w:p w14:paraId="6182898C">
      <w:pPr>
        <w:pStyle w:val="46"/>
        <w:rPr>
          <w:rFonts w:hint="eastAsia"/>
          <w:color w:val="auto"/>
          <w:highlight w:val="none"/>
        </w:rPr>
      </w:pPr>
    </w:p>
    <w:p w14:paraId="18ACFF54">
      <w:pPr>
        <w:pStyle w:val="46"/>
        <w:rPr>
          <w:rFonts w:hint="eastAsia"/>
          <w:color w:val="auto"/>
          <w:highlight w:val="none"/>
        </w:rPr>
      </w:pPr>
    </w:p>
    <w:p w14:paraId="71C28E60">
      <w:pPr>
        <w:pStyle w:val="46"/>
        <w:rPr>
          <w:rFonts w:hint="eastAsia"/>
          <w:color w:val="auto"/>
          <w:highlight w:val="none"/>
        </w:rPr>
      </w:pPr>
    </w:p>
    <w:p w14:paraId="011F818D">
      <w:pPr>
        <w:pStyle w:val="46"/>
        <w:rPr>
          <w:rFonts w:hint="eastAsia"/>
          <w:color w:val="auto"/>
          <w:highlight w:val="none"/>
        </w:rPr>
      </w:pPr>
    </w:p>
    <w:p w14:paraId="259C67BB">
      <w:pPr>
        <w:pStyle w:val="4"/>
        <w:keepNext w:val="0"/>
        <w:keepLines w:val="0"/>
        <w:jc w:val="center"/>
        <w:rPr>
          <w:rFonts w:hint="eastAsia" w:asciiTheme="majorEastAsia" w:hAnsiTheme="majorEastAsia" w:eastAsiaTheme="majorEastAsia"/>
          <w:color w:val="auto"/>
          <w:szCs w:val="36"/>
          <w:highlight w:val="none"/>
        </w:rPr>
      </w:pPr>
      <w:r>
        <w:rPr>
          <w:rFonts w:hint="eastAsia" w:asciiTheme="majorEastAsia" w:hAnsiTheme="majorEastAsia" w:eastAsiaTheme="majorEastAsia"/>
          <w:color w:val="auto"/>
          <w:szCs w:val="36"/>
          <w:highlight w:val="none"/>
        </w:rPr>
        <w:t>格式</w:t>
      </w:r>
      <w:r>
        <w:rPr>
          <w:rFonts w:hint="eastAsia" w:asciiTheme="majorEastAsia" w:hAnsiTheme="majorEastAsia" w:eastAsiaTheme="majorEastAsia"/>
          <w:color w:val="auto"/>
          <w:szCs w:val="36"/>
          <w:highlight w:val="none"/>
          <w:lang w:val="en-US" w:eastAsia="zh-CN"/>
        </w:rPr>
        <w:t>四</w:t>
      </w:r>
      <w:r>
        <w:rPr>
          <w:rFonts w:hint="eastAsia" w:asciiTheme="majorEastAsia" w:hAnsiTheme="majorEastAsia" w:eastAsiaTheme="majorEastAsia"/>
          <w:color w:val="auto"/>
          <w:szCs w:val="36"/>
          <w:highlight w:val="none"/>
        </w:rPr>
        <w:t xml:space="preserve"> 报价一览表</w:t>
      </w:r>
    </w:p>
    <w:p w14:paraId="14C197C4">
      <w:pPr>
        <w:rPr>
          <w:rFonts w:hint="eastAsia"/>
          <w:color w:val="auto"/>
          <w:kern w:val="0"/>
          <w:highlight w:val="none"/>
          <w:lang w:val="en-US" w:eastAsia="zh-CN"/>
        </w:rPr>
      </w:pPr>
      <w:r>
        <w:rPr>
          <w:rFonts w:hint="eastAsia"/>
          <w:color w:val="auto"/>
          <w:kern w:val="0"/>
          <w:highlight w:val="none"/>
          <w:lang w:val="en-US" w:eastAsia="zh-CN"/>
        </w:rPr>
        <w:t>合同包1：</w:t>
      </w:r>
      <w:r>
        <w:rPr>
          <w:rFonts w:hint="eastAsia"/>
          <w:color w:val="auto"/>
          <w:kern w:val="0"/>
          <w:highlight w:val="none"/>
          <w:u w:val="single"/>
          <w:lang w:val="en-US" w:eastAsia="zh-CN"/>
        </w:rPr>
        <w:t>厦航大兴机场基地2026年普通车油料采购</w:t>
      </w:r>
      <w:r>
        <w:rPr>
          <w:rFonts w:hint="eastAsia" w:cs="Arial"/>
          <w:b w:val="0"/>
          <w:color w:val="auto"/>
          <w:w w:val="100"/>
          <w:sz w:val="21"/>
          <w:szCs w:val="21"/>
          <w:highlight w:val="none"/>
          <w:u w:val="single"/>
          <w:lang w:val="en-US" w:eastAsia="zh-CN"/>
        </w:rPr>
        <w:t>-大兴机场北京区域</w:t>
      </w:r>
    </w:p>
    <w:p w14:paraId="2B767419">
      <w:pPr>
        <w:pStyle w:val="2"/>
        <w:rPr>
          <w:highlight w:val="none"/>
        </w:rPr>
      </w:pPr>
    </w:p>
    <w:p w14:paraId="62959285">
      <w:pPr>
        <w:autoSpaceDE w:val="0"/>
        <w:autoSpaceDN w:val="0"/>
        <w:adjustRightInd w:val="0"/>
        <w:spacing w:line="360" w:lineRule="auto"/>
        <w:rPr>
          <w:rFonts w:hint="eastAsia"/>
          <w:color w:val="auto"/>
          <w:kern w:val="0"/>
          <w:highlight w:val="none"/>
        </w:rPr>
      </w:pPr>
      <w:r>
        <w:rPr>
          <w:rFonts w:hint="eastAsia"/>
          <w:color w:val="auto"/>
          <w:kern w:val="0"/>
          <w:highlight w:val="none"/>
        </w:rPr>
        <w:t>致</w:t>
      </w:r>
      <w:r>
        <w:rPr>
          <w:rFonts w:hint="eastAsia"/>
          <w:color w:val="auto"/>
          <w:kern w:val="0"/>
          <w:highlight w:val="none"/>
          <w:lang w:eastAsia="zh-CN"/>
        </w:rPr>
        <w:t>厦门航空有限公司北方总部</w:t>
      </w:r>
      <w:r>
        <w:rPr>
          <w:rFonts w:hint="eastAsia"/>
          <w:color w:val="auto"/>
          <w:kern w:val="0"/>
          <w:highlight w:val="none"/>
        </w:rPr>
        <w:t>：</w:t>
      </w:r>
    </w:p>
    <w:p w14:paraId="702E763A">
      <w:pPr>
        <w:autoSpaceDE w:val="0"/>
        <w:autoSpaceDN w:val="0"/>
        <w:adjustRightInd w:val="0"/>
        <w:spacing w:line="360" w:lineRule="auto"/>
        <w:rPr>
          <w:rFonts w:hint="eastAsia" w:eastAsia="宋体"/>
          <w:color w:val="auto"/>
          <w:kern w:val="0"/>
          <w:highlight w:val="none"/>
          <w:lang w:val="en-US" w:eastAsia="zh-CN"/>
        </w:rPr>
      </w:pPr>
      <w:r>
        <w:rPr>
          <w:rFonts w:hint="eastAsia"/>
          <w:color w:val="auto"/>
          <w:kern w:val="0"/>
          <w:highlight w:val="none"/>
        </w:rPr>
        <w:t>本公司对“</w:t>
      </w:r>
      <w:r>
        <w:rPr>
          <w:rFonts w:hint="eastAsia"/>
          <w:color w:val="auto"/>
          <w:kern w:val="0"/>
          <w:highlight w:val="none"/>
          <w:u w:val="single"/>
          <w:lang w:val="en-US" w:eastAsia="zh-CN"/>
        </w:rPr>
        <w:t>厦航大兴机场基地2026年普通车油料采购</w:t>
      </w:r>
      <w:r>
        <w:rPr>
          <w:rFonts w:hint="eastAsia" w:cs="Arial"/>
          <w:b w:val="0"/>
          <w:color w:val="auto"/>
          <w:w w:val="100"/>
          <w:sz w:val="21"/>
          <w:szCs w:val="21"/>
          <w:highlight w:val="none"/>
          <w:u w:val="single"/>
          <w:lang w:val="en-US" w:eastAsia="zh-CN"/>
        </w:rPr>
        <w:t>-大兴机场北京区域</w:t>
      </w:r>
      <w:r>
        <w:rPr>
          <w:rFonts w:hint="eastAsia"/>
          <w:color w:val="auto"/>
          <w:kern w:val="0"/>
          <w:highlight w:val="none"/>
          <w:u w:val="single"/>
          <w:lang w:val="en-US" w:eastAsia="zh-CN"/>
        </w:rPr>
        <w:t xml:space="preserve"> </w:t>
      </w:r>
      <w:r>
        <w:rPr>
          <w:rFonts w:hint="eastAsia"/>
          <w:color w:val="auto"/>
          <w:kern w:val="0"/>
          <w:highlight w:val="none"/>
        </w:rPr>
        <w:t>”采购项目提供的总计报价为人民币大写______________（￥__________元）。</w:t>
      </w:r>
    </w:p>
    <w:tbl>
      <w:tblPr>
        <w:tblStyle w:val="37"/>
        <w:tblW w:w="80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00"/>
        <w:gridCol w:w="1745"/>
        <w:gridCol w:w="1135"/>
        <w:gridCol w:w="1290"/>
        <w:gridCol w:w="2040"/>
      </w:tblGrid>
      <w:tr w14:paraId="7258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51BFBAE6">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物资名称</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7579E3A8">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数量（升）</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533E563F">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单价</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53A21AEC">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优惠价</w:t>
            </w:r>
          </w:p>
        </w:tc>
        <w:tc>
          <w:tcPr>
            <w:tcW w:w="204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216ADDE1">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总价</w:t>
            </w:r>
          </w:p>
        </w:tc>
      </w:tr>
      <w:tr w14:paraId="7AC2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0354587C">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-20#柴油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16447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1EE5F6D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741435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restart"/>
            <w:tcBorders>
              <w:top w:val="single" w:color="auto" w:sz="4" w:space="0"/>
              <w:left w:val="single" w:color="auto" w:sz="4" w:space="0"/>
              <w:right w:val="single" w:color="auto" w:sz="4" w:space="0"/>
            </w:tcBorders>
            <w:shd w:val="clear" w:color="auto" w:fill="FFFFFF"/>
            <w:tcMar>
              <w:left w:w="105" w:type="dxa"/>
              <w:right w:w="105" w:type="dxa"/>
            </w:tcMar>
            <w:vAlign w:val="top"/>
          </w:tcPr>
          <w:p w14:paraId="0B7B308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r>
      <w:tr w14:paraId="17739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19E996C0">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-10#柴油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5E8927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3000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F5553A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34F4FE8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37FAF63F">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7ECE0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70E2BC1E">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16E27E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14040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74F488C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42A086C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2D7D0F96">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28795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4ADDC66E">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92#汽油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097CBB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70800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2EC04A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1D81B85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48C8ACCD">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32BA9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643BB9FE">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95#汽油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49B29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4260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45B0A62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536E729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bottom w:val="single" w:color="auto" w:sz="4" w:space="0"/>
              <w:right w:val="single" w:color="auto" w:sz="4" w:space="0"/>
            </w:tcBorders>
            <w:shd w:val="clear" w:color="auto" w:fill="FFFFFF"/>
            <w:tcMar>
              <w:left w:w="105" w:type="dxa"/>
              <w:right w:w="105" w:type="dxa"/>
            </w:tcMar>
            <w:vAlign w:val="top"/>
          </w:tcPr>
          <w:p w14:paraId="4BE69971">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bl>
    <w:p w14:paraId="191C2F60">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货币单位：人民币（元）</w:t>
      </w:r>
    </w:p>
    <w:p w14:paraId="4A94F119">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1.报价必须对全部内容进行一次性报价，包括但不限于材料费、人工费、辅材费、机械费、安装费、综合取费。</w:t>
      </w:r>
    </w:p>
    <w:p w14:paraId="79C9172E">
      <w:pPr>
        <w:pStyle w:val="121"/>
        <w:numPr>
          <w:ilvl w:val="0"/>
          <w:numId w:val="0"/>
        </w:numPr>
        <w:spacing w:line="360" w:lineRule="auto"/>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2.价格为含税价。在合同履行期间如遇国家的税率调整，则价税合计相应调整，以发票开具的日期为准。</w:t>
      </w:r>
    </w:p>
    <w:p w14:paraId="50D7B17D">
      <w:pPr>
        <w:numPr>
          <w:ilvl w:val="0"/>
          <w:numId w:val="0"/>
        </w:numPr>
        <w:adjustRightInd w:val="0"/>
        <w:spacing w:line="360" w:lineRule="auto"/>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2"/>
          <w:sz w:val="24"/>
          <w:szCs w:val="24"/>
          <w:highlight w:val="none"/>
          <w:shd w:val="clear"/>
          <w:lang w:val="en-US" w:eastAsia="zh-CN" w:bidi="ar-SA"/>
        </w:rPr>
        <w:t>3.此表应经法定代表人或授权委托人签名，并加盖公章。</w:t>
      </w:r>
    </w:p>
    <w:p w14:paraId="4AD830B7">
      <w:pPr>
        <w:numPr>
          <w:ilvl w:val="0"/>
          <w:numId w:val="0"/>
        </w:numPr>
        <w:adjustRightInd w:val="0"/>
        <w:spacing w:line="360" w:lineRule="auto"/>
        <w:jc w:val="left"/>
        <w:textAlignment w:val="baseline"/>
        <w:rPr>
          <w:rFonts w:hint="eastAsia"/>
          <w:color w:val="auto"/>
          <w:highlight w:val="none"/>
        </w:rPr>
      </w:pPr>
      <w:r>
        <w:rPr>
          <w:rFonts w:hint="eastAsia" w:ascii="宋体" w:hAnsi="宋体" w:eastAsia="宋体" w:cs="宋体"/>
          <w:b/>
          <w:snapToGrid w:val="0"/>
          <w:color w:val="auto"/>
          <w:kern w:val="0"/>
          <w:sz w:val="24"/>
          <w:highlight w:val="none"/>
          <w:lang w:val="en-US" w:eastAsia="zh-CN"/>
        </w:rPr>
        <w:t>4.</w:t>
      </w:r>
      <w:r>
        <w:rPr>
          <w:rFonts w:hint="eastAsia" w:ascii="宋体" w:hAnsi="宋体" w:eastAsia="宋体" w:cs="宋体"/>
          <w:b/>
          <w:snapToGrid w:val="0"/>
          <w:color w:val="auto"/>
          <w:kern w:val="0"/>
          <w:sz w:val="24"/>
          <w:highlight w:val="none"/>
        </w:rPr>
        <w:t>此表应按谈判文件要求单独密封于一信封内。</w:t>
      </w:r>
    </w:p>
    <w:p w14:paraId="06CD498D">
      <w:pPr>
        <w:pStyle w:val="2"/>
        <w:rPr>
          <w:rFonts w:hint="eastAsia"/>
          <w:color w:val="auto"/>
          <w:highlight w:val="none"/>
        </w:rPr>
      </w:pPr>
    </w:p>
    <w:p w14:paraId="7647EA5B">
      <w:pPr>
        <w:pStyle w:val="2"/>
        <w:rPr>
          <w:rFonts w:hint="eastAsia"/>
          <w:color w:val="auto"/>
          <w:highlight w:val="none"/>
        </w:rPr>
      </w:pPr>
    </w:p>
    <w:p w14:paraId="58C91432">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5460"/>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fill="FFFFFF"/>
        </w:rPr>
        <w:t> </w:t>
      </w:r>
    </w:p>
    <w:p w14:paraId="3ED45A0F">
      <w:pPr>
        <w:keepNext w:val="0"/>
        <w:keepLines w:val="0"/>
        <w:pageBreakBefore w:val="0"/>
        <w:widowControl w:val="0"/>
        <w:kinsoku/>
        <w:wordWrap/>
        <w:overflowPunct/>
        <w:topLinePunct w:val="0"/>
        <w:autoSpaceDE/>
        <w:autoSpaceDN/>
        <w:bidi w:val="0"/>
        <w:adjustRightInd/>
        <w:snapToGrid/>
        <w:spacing w:line="420" w:lineRule="exact"/>
        <w:ind w:firstLine="4080" w:firstLineChars="1700"/>
        <w:jc w:val="both"/>
        <w:textAlignment w:val="auto"/>
        <w:rPr>
          <w:rFonts w:hint="default" w:eastAsia="宋体"/>
          <w:color w:val="auto"/>
          <w:sz w:val="24"/>
          <w:szCs w:val="24"/>
          <w:highlight w:val="none"/>
          <w:u w:val="single"/>
          <w:lang w:val="en-US" w:eastAsia="zh-CN"/>
        </w:rPr>
      </w:pPr>
      <w:r>
        <w:rPr>
          <w:rFonts w:hint="eastAsia"/>
          <w:color w:val="auto"/>
          <w:sz w:val="24"/>
          <w:szCs w:val="24"/>
          <w:highlight w:val="none"/>
        </w:rPr>
        <w:t>供应商名称：（加盖公章</w:t>
      </w:r>
      <w:r>
        <w:rPr>
          <w:rFonts w:hint="eastAsia"/>
          <w:color w:val="auto"/>
          <w:sz w:val="24"/>
          <w:szCs w:val="24"/>
          <w:highlight w:val="none"/>
          <w:lang w:eastAsia="zh-CN"/>
        </w:rPr>
        <w:t>）</w:t>
      </w:r>
    </w:p>
    <w:p w14:paraId="04B9E764">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eastAsia"/>
          <w:color w:val="auto"/>
          <w:sz w:val="24"/>
          <w:szCs w:val="24"/>
          <w:highlight w:val="none"/>
        </w:rPr>
      </w:pPr>
    </w:p>
    <w:p w14:paraId="19B36366">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default" w:eastAsia="宋体"/>
          <w:color w:val="auto"/>
          <w:sz w:val="24"/>
          <w:szCs w:val="24"/>
          <w:highlight w:val="none"/>
          <w:u w:val="single"/>
          <w:lang w:val="en-US" w:eastAsia="zh-CN"/>
        </w:rPr>
      </w:pPr>
      <w:r>
        <w:rPr>
          <w:rFonts w:hint="eastAsia"/>
          <w:color w:val="auto"/>
          <w:sz w:val="24"/>
          <w:szCs w:val="24"/>
          <w:highlight w:val="none"/>
        </w:rPr>
        <w:t>法定代表人或</w:t>
      </w:r>
      <w:r>
        <w:rPr>
          <w:rFonts w:hint="eastAsia"/>
          <w:color w:val="auto"/>
          <w:sz w:val="24"/>
          <w:szCs w:val="24"/>
          <w:highlight w:val="none"/>
          <w:lang w:val="en-US" w:eastAsia="zh-CN"/>
        </w:rPr>
        <w:t>授权</w:t>
      </w:r>
      <w:r>
        <w:rPr>
          <w:rFonts w:hint="eastAsia"/>
          <w:color w:val="auto"/>
          <w:sz w:val="24"/>
          <w:szCs w:val="24"/>
          <w:highlight w:val="none"/>
        </w:rPr>
        <w:t>代表（签字）：</w:t>
      </w:r>
      <w:r>
        <w:rPr>
          <w:rFonts w:hint="eastAsia"/>
          <w:color w:val="auto"/>
          <w:sz w:val="24"/>
          <w:szCs w:val="24"/>
          <w:highlight w:val="none"/>
          <w:lang w:val="en-US" w:eastAsia="zh-CN"/>
        </w:rPr>
        <w:t xml:space="preserve"> </w:t>
      </w:r>
    </w:p>
    <w:p w14:paraId="24F800F0">
      <w:pPr>
        <w:pStyle w:val="2"/>
        <w:ind w:firstLine="4080" w:firstLineChars="1700"/>
        <w:rPr>
          <w:rFonts w:hint="eastAsia"/>
          <w:color w:val="auto"/>
          <w:sz w:val="24"/>
          <w:szCs w:val="24"/>
          <w:highlight w:val="none"/>
        </w:rPr>
      </w:pPr>
    </w:p>
    <w:p w14:paraId="436D4057">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r>
        <w:rPr>
          <w:rFonts w:hint="eastAsia"/>
          <w:color w:val="auto"/>
          <w:sz w:val="24"/>
          <w:szCs w:val="24"/>
          <w:highlight w:val="none"/>
          <w:lang w:val="en-US" w:eastAsia="zh-CN"/>
        </w:rPr>
        <w:t xml:space="preserve">            </w:t>
      </w:r>
      <w:r>
        <w:rPr>
          <w:rFonts w:hint="eastAsia"/>
          <w:color w:val="auto"/>
          <w:sz w:val="24"/>
          <w:szCs w:val="24"/>
          <w:highlight w:val="none"/>
        </w:rPr>
        <w:t>日期：</w:t>
      </w:r>
      <w:r>
        <w:rPr>
          <w:rFonts w:hint="eastAsia"/>
          <w:color w:val="auto"/>
          <w:sz w:val="24"/>
          <w:szCs w:val="24"/>
          <w:highlight w:val="none"/>
          <w:lang w:val="en-US" w:eastAsia="zh-CN"/>
        </w:rPr>
        <w:t xml:space="preserve">    年    月    日</w:t>
      </w:r>
    </w:p>
    <w:p w14:paraId="6CE6B1D2">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41144DA2">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6C87BDC9">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61607049">
      <w:pPr>
        <w:rPr>
          <w:rFonts w:hint="eastAsia"/>
          <w:color w:val="auto"/>
          <w:kern w:val="0"/>
          <w:highlight w:val="none"/>
          <w:lang w:val="en-US" w:eastAsia="zh-CN"/>
        </w:rPr>
      </w:pPr>
      <w:r>
        <w:rPr>
          <w:rFonts w:hint="eastAsia"/>
          <w:color w:val="auto"/>
          <w:kern w:val="0"/>
          <w:highlight w:val="none"/>
          <w:lang w:val="en-US" w:eastAsia="zh-CN"/>
        </w:rPr>
        <w:t>合同包2：</w:t>
      </w:r>
      <w:r>
        <w:rPr>
          <w:rFonts w:hint="eastAsia" w:ascii="宋体" w:hAnsi="宋体" w:eastAsia="宋体" w:cs="Arial"/>
          <w:b w:val="0"/>
          <w:color w:val="auto"/>
          <w:w w:val="100"/>
          <w:sz w:val="21"/>
          <w:szCs w:val="21"/>
          <w:highlight w:val="none"/>
          <w:u w:val="single"/>
          <w:lang w:val="en-US" w:eastAsia="zh-CN"/>
        </w:rPr>
        <w:t>厦航大兴机场基地</w:t>
      </w:r>
      <w:r>
        <w:rPr>
          <w:rFonts w:hint="eastAsia" w:ascii="宋体" w:hAnsi="宋体" w:eastAsia="宋体" w:cs="Arial"/>
          <w:b w:val="0"/>
          <w:color w:val="auto"/>
          <w:w w:val="100"/>
          <w:sz w:val="21"/>
          <w:szCs w:val="21"/>
          <w:highlight w:val="none"/>
          <w:u w:val="single"/>
        </w:rPr>
        <w:t>202</w:t>
      </w:r>
      <w:r>
        <w:rPr>
          <w:rFonts w:hint="eastAsia" w:ascii="宋体" w:hAnsi="宋体" w:eastAsia="宋体" w:cs="Arial"/>
          <w:b w:val="0"/>
          <w:color w:val="auto"/>
          <w:w w:val="100"/>
          <w:sz w:val="21"/>
          <w:szCs w:val="21"/>
          <w:highlight w:val="none"/>
          <w:u w:val="single"/>
          <w:lang w:val="en-US" w:eastAsia="zh-CN"/>
        </w:rPr>
        <w:t>6</w:t>
      </w:r>
      <w:r>
        <w:rPr>
          <w:rFonts w:hint="eastAsia" w:ascii="宋体" w:hAnsi="宋体" w:eastAsia="宋体" w:cs="Arial"/>
          <w:b w:val="0"/>
          <w:color w:val="auto"/>
          <w:w w:val="100"/>
          <w:sz w:val="21"/>
          <w:szCs w:val="21"/>
          <w:highlight w:val="none"/>
          <w:u w:val="single"/>
        </w:rPr>
        <w:t>年普通车油料采购</w:t>
      </w:r>
      <w:r>
        <w:rPr>
          <w:rFonts w:hint="eastAsia" w:cs="Arial"/>
          <w:b w:val="0"/>
          <w:color w:val="auto"/>
          <w:w w:val="100"/>
          <w:sz w:val="21"/>
          <w:szCs w:val="21"/>
          <w:highlight w:val="none"/>
          <w:u w:val="single"/>
          <w:lang w:val="en-US" w:eastAsia="zh-CN"/>
        </w:rPr>
        <w:t>-</w:t>
      </w:r>
      <w:r>
        <w:rPr>
          <w:rFonts w:hint="eastAsia" w:ascii="宋体" w:hAnsi="宋体" w:eastAsia="宋体" w:cs="Arial"/>
          <w:b w:val="0"/>
          <w:color w:val="auto"/>
          <w:w w:val="100"/>
          <w:sz w:val="21"/>
          <w:szCs w:val="21"/>
          <w:highlight w:val="none"/>
          <w:u w:val="single"/>
          <w:lang w:val="en-US" w:eastAsia="zh-CN"/>
        </w:rPr>
        <w:t>大兴机场</w:t>
      </w:r>
      <w:r>
        <w:rPr>
          <w:rFonts w:hint="eastAsia" w:ascii="宋体" w:hAnsi="宋体" w:eastAsia="宋体" w:cs="Arial"/>
          <w:b w:val="0"/>
          <w:color w:val="auto"/>
          <w:w w:val="100"/>
          <w:sz w:val="21"/>
          <w:szCs w:val="21"/>
          <w:highlight w:val="none"/>
          <w:u w:val="single"/>
        </w:rPr>
        <w:t>廊坊临空区</w:t>
      </w:r>
    </w:p>
    <w:p w14:paraId="6F226CC1">
      <w:pPr>
        <w:pStyle w:val="2"/>
        <w:rPr>
          <w:highlight w:val="none"/>
        </w:rPr>
      </w:pPr>
    </w:p>
    <w:p w14:paraId="2CADD385">
      <w:pPr>
        <w:autoSpaceDE w:val="0"/>
        <w:autoSpaceDN w:val="0"/>
        <w:adjustRightInd w:val="0"/>
        <w:spacing w:line="360" w:lineRule="auto"/>
        <w:rPr>
          <w:rFonts w:hint="eastAsia"/>
          <w:color w:val="auto"/>
          <w:kern w:val="0"/>
          <w:highlight w:val="none"/>
        </w:rPr>
      </w:pPr>
      <w:r>
        <w:rPr>
          <w:rFonts w:hint="eastAsia"/>
          <w:color w:val="auto"/>
          <w:kern w:val="0"/>
          <w:highlight w:val="none"/>
        </w:rPr>
        <w:t>致</w:t>
      </w:r>
      <w:r>
        <w:rPr>
          <w:rFonts w:hint="eastAsia"/>
          <w:color w:val="auto"/>
          <w:kern w:val="0"/>
          <w:highlight w:val="none"/>
          <w:lang w:eastAsia="zh-CN"/>
        </w:rPr>
        <w:t>厦门航空有限公司北方总部</w:t>
      </w:r>
      <w:r>
        <w:rPr>
          <w:rFonts w:hint="eastAsia"/>
          <w:color w:val="auto"/>
          <w:kern w:val="0"/>
          <w:highlight w:val="none"/>
        </w:rPr>
        <w:t>：</w:t>
      </w:r>
    </w:p>
    <w:p w14:paraId="533ADA65">
      <w:pPr>
        <w:pStyle w:val="2"/>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eastAsia="宋体"/>
          <w:color w:val="auto"/>
          <w:kern w:val="0"/>
          <w:highlight w:val="none"/>
          <w:lang w:val="en-US" w:eastAsia="zh-CN"/>
        </w:rPr>
      </w:pPr>
      <w:r>
        <w:rPr>
          <w:rFonts w:hint="eastAsia"/>
          <w:color w:val="auto"/>
          <w:kern w:val="0"/>
          <w:highlight w:val="none"/>
        </w:rPr>
        <w:t>本公司对“</w:t>
      </w:r>
      <w:r>
        <w:rPr>
          <w:rFonts w:hint="eastAsia" w:ascii="宋体" w:hAnsi="宋体" w:eastAsia="宋体" w:cs="Arial"/>
          <w:b w:val="0"/>
          <w:color w:val="auto"/>
          <w:w w:val="100"/>
          <w:sz w:val="21"/>
          <w:szCs w:val="21"/>
          <w:highlight w:val="none"/>
          <w:u w:val="single"/>
          <w:lang w:val="en-US" w:eastAsia="zh-CN"/>
        </w:rPr>
        <w:t>厦航大兴机场基地</w:t>
      </w:r>
      <w:r>
        <w:rPr>
          <w:rFonts w:hint="eastAsia" w:ascii="宋体" w:hAnsi="宋体" w:eastAsia="宋体" w:cs="Arial"/>
          <w:b w:val="0"/>
          <w:color w:val="auto"/>
          <w:w w:val="100"/>
          <w:sz w:val="21"/>
          <w:szCs w:val="21"/>
          <w:highlight w:val="none"/>
          <w:u w:val="single"/>
        </w:rPr>
        <w:t>202</w:t>
      </w:r>
      <w:r>
        <w:rPr>
          <w:rFonts w:hint="eastAsia" w:ascii="宋体" w:hAnsi="宋体" w:eastAsia="宋体" w:cs="Arial"/>
          <w:b w:val="0"/>
          <w:color w:val="auto"/>
          <w:w w:val="100"/>
          <w:sz w:val="21"/>
          <w:szCs w:val="21"/>
          <w:highlight w:val="none"/>
          <w:u w:val="single"/>
          <w:lang w:val="en-US" w:eastAsia="zh-CN"/>
        </w:rPr>
        <w:t>6</w:t>
      </w:r>
      <w:r>
        <w:rPr>
          <w:rFonts w:hint="eastAsia" w:ascii="宋体" w:hAnsi="宋体" w:eastAsia="宋体" w:cs="Arial"/>
          <w:b w:val="0"/>
          <w:color w:val="auto"/>
          <w:w w:val="100"/>
          <w:sz w:val="21"/>
          <w:szCs w:val="21"/>
          <w:highlight w:val="none"/>
          <w:u w:val="single"/>
        </w:rPr>
        <w:t>年普通车油料采购</w:t>
      </w:r>
      <w:r>
        <w:rPr>
          <w:rFonts w:hint="eastAsia" w:cs="Arial"/>
          <w:b w:val="0"/>
          <w:color w:val="auto"/>
          <w:w w:val="100"/>
          <w:sz w:val="21"/>
          <w:szCs w:val="21"/>
          <w:highlight w:val="none"/>
          <w:u w:val="single"/>
          <w:lang w:val="en-US" w:eastAsia="zh-CN"/>
        </w:rPr>
        <w:t>-</w:t>
      </w:r>
      <w:r>
        <w:rPr>
          <w:rFonts w:hint="eastAsia" w:ascii="宋体" w:hAnsi="宋体" w:eastAsia="宋体" w:cs="Arial"/>
          <w:b w:val="0"/>
          <w:color w:val="auto"/>
          <w:w w:val="100"/>
          <w:sz w:val="21"/>
          <w:szCs w:val="21"/>
          <w:highlight w:val="none"/>
          <w:u w:val="single"/>
          <w:lang w:val="en-US" w:eastAsia="zh-CN"/>
        </w:rPr>
        <w:t>大兴机场</w:t>
      </w:r>
      <w:r>
        <w:rPr>
          <w:rFonts w:hint="eastAsia" w:ascii="宋体" w:hAnsi="宋体" w:eastAsia="宋体" w:cs="Arial"/>
          <w:b w:val="0"/>
          <w:color w:val="auto"/>
          <w:w w:val="100"/>
          <w:sz w:val="21"/>
          <w:szCs w:val="21"/>
          <w:highlight w:val="none"/>
          <w:u w:val="single"/>
        </w:rPr>
        <w:t>廊坊临空区</w:t>
      </w:r>
      <w:r>
        <w:rPr>
          <w:rFonts w:hint="eastAsia"/>
          <w:color w:val="auto"/>
          <w:kern w:val="0"/>
          <w:highlight w:val="none"/>
        </w:rPr>
        <w:t>”采购项目提供的总计报价为人民币大写______________（￥__________元）。</w:t>
      </w:r>
    </w:p>
    <w:tbl>
      <w:tblPr>
        <w:tblStyle w:val="37"/>
        <w:tblW w:w="80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00"/>
        <w:gridCol w:w="1745"/>
        <w:gridCol w:w="1135"/>
        <w:gridCol w:w="1290"/>
        <w:gridCol w:w="2040"/>
      </w:tblGrid>
      <w:tr w14:paraId="23F34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2785A272">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物资名称</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13DB5090">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数量（升）</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4363F939">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单价</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19E296A7">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优惠价</w:t>
            </w:r>
          </w:p>
        </w:tc>
        <w:tc>
          <w:tcPr>
            <w:tcW w:w="204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25968D36">
            <w:pPr>
              <w:pStyle w:val="3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总价</w:t>
            </w:r>
          </w:p>
        </w:tc>
      </w:tr>
      <w:tr w14:paraId="6042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68E09188">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-20#柴油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2CDD24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714EE74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2A84917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restart"/>
            <w:tcBorders>
              <w:top w:val="single" w:color="auto" w:sz="4" w:space="0"/>
              <w:left w:val="single" w:color="auto" w:sz="4" w:space="0"/>
              <w:right w:val="single" w:color="auto" w:sz="4" w:space="0"/>
            </w:tcBorders>
            <w:shd w:val="clear" w:color="auto" w:fill="FFFFFF"/>
            <w:tcMar>
              <w:left w:w="105" w:type="dxa"/>
              <w:right w:w="105" w:type="dxa"/>
            </w:tcMar>
            <w:vAlign w:val="top"/>
          </w:tcPr>
          <w:p w14:paraId="1C310A0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r>
      <w:tr w14:paraId="6C5CB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76BBD7B6">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-10#柴油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1C973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964984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4084369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20E2FBD2">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3FCF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0C98FD8B">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0#柴油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49E9F6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9360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7BA7C3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625574E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3E388B10">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72BB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33EA3456">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92#汽油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1C8E7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47200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132B1A3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3F16737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right w:val="single" w:color="auto" w:sz="4" w:space="0"/>
            </w:tcBorders>
            <w:shd w:val="clear" w:color="auto" w:fill="FFFFFF"/>
            <w:tcMar>
              <w:left w:w="105" w:type="dxa"/>
              <w:right w:w="105" w:type="dxa"/>
            </w:tcMar>
            <w:vAlign w:val="top"/>
          </w:tcPr>
          <w:p w14:paraId="46770676">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r w14:paraId="38E5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80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5A640111">
            <w:pPr>
              <w:keepNext w:val="0"/>
              <w:keepLines w:val="0"/>
              <w:suppressLineNumbers w:val="0"/>
              <w:spacing w:before="0" w:beforeAutospacing="0" w:after="0" w:afterAutospacing="0"/>
              <w:ind w:left="0" w:right="0"/>
              <w:jc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95#汽油</w:t>
            </w:r>
          </w:p>
        </w:tc>
        <w:tc>
          <w:tcPr>
            <w:tcW w:w="174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14:paraId="58545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2840</w:t>
            </w:r>
          </w:p>
        </w:tc>
        <w:tc>
          <w:tcPr>
            <w:tcW w:w="113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73E1950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top"/>
          </w:tcPr>
          <w:p w14:paraId="30851DC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4"/>
                <w:szCs w:val="24"/>
                <w:highlight w:val="none"/>
                <w:shd w:val="clear"/>
                <w:lang w:val="en-US" w:eastAsia="zh-CN" w:bidi="ar-SA"/>
              </w:rPr>
            </w:pPr>
          </w:p>
        </w:tc>
        <w:tc>
          <w:tcPr>
            <w:tcW w:w="2040" w:type="dxa"/>
            <w:vMerge w:val="continue"/>
            <w:tcBorders>
              <w:left w:val="single" w:color="auto" w:sz="4" w:space="0"/>
              <w:bottom w:val="single" w:color="auto" w:sz="4" w:space="0"/>
              <w:right w:val="single" w:color="auto" w:sz="4" w:space="0"/>
            </w:tcBorders>
            <w:shd w:val="clear" w:color="auto" w:fill="FFFFFF"/>
            <w:tcMar>
              <w:left w:w="105" w:type="dxa"/>
              <w:right w:w="105" w:type="dxa"/>
            </w:tcMar>
            <w:vAlign w:val="top"/>
          </w:tcPr>
          <w:p w14:paraId="200DF17A">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shd w:val="clear"/>
                <w:lang w:val="en-US" w:eastAsia="zh-CN" w:bidi="ar-SA"/>
              </w:rPr>
            </w:pPr>
          </w:p>
        </w:tc>
      </w:tr>
    </w:tbl>
    <w:p w14:paraId="510455F7">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货币单位：人民币（元）</w:t>
      </w:r>
    </w:p>
    <w:p w14:paraId="5B2251F9">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both"/>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1.报价必须对全部内容进行一次性报价，包括但不限于材料费、人工费、辅材费、机械费、安装费、综合取费。</w:t>
      </w:r>
    </w:p>
    <w:p w14:paraId="05655863">
      <w:pPr>
        <w:pStyle w:val="121"/>
        <w:numPr>
          <w:ilvl w:val="0"/>
          <w:numId w:val="0"/>
        </w:numPr>
        <w:spacing w:line="360" w:lineRule="auto"/>
        <w:rPr>
          <w:rFonts w:hint="eastAsia" w:ascii="宋体" w:hAnsi="宋体" w:eastAsia="宋体" w:cs="宋体"/>
          <w:color w:val="auto"/>
          <w:kern w:val="2"/>
          <w:sz w:val="24"/>
          <w:szCs w:val="24"/>
          <w:highlight w:val="none"/>
          <w:shd w:val="clear"/>
          <w:lang w:val="en-US" w:eastAsia="zh-CN" w:bidi="ar-SA"/>
        </w:rPr>
      </w:pPr>
      <w:r>
        <w:rPr>
          <w:rFonts w:hint="eastAsia" w:ascii="宋体" w:hAnsi="宋体" w:eastAsia="宋体" w:cs="宋体"/>
          <w:color w:val="auto"/>
          <w:kern w:val="2"/>
          <w:sz w:val="24"/>
          <w:szCs w:val="24"/>
          <w:highlight w:val="none"/>
          <w:shd w:val="clear"/>
          <w:lang w:val="en-US" w:eastAsia="zh-CN" w:bidi="ar-SA"/>
        </w:rPr>
        <w:t>2.价格为含税价。在合同履行期间如遇国家的税率调整，则价税合计相应调整，以发票开具的日期为准。</w:t>
      </w:r>
    </w:p>
    <w:p w14:paraId="3D83E33F">
      <w:pPr>
        <w:numPr>
          <w:ilvl w:val="0"/>
          <w:numId w:val="0"/>
        </w:numPr>
        <w:adjustRightInd w:val="0"/>
        <w:spacing w:line="360" w:lineRule="auto"/>
        <w:jc w:val="left"/>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2"/>
          <w:sz w:val="24"/>
          <w:szCs w:val="24"/>
          <w:highlight w:val="none"/>
          <w:shd w:val="clear"/>
          <w:lang w:val="en-US" w:eastAsia="zh-CN" w:bidi="ar-SA"/>
        </w:rPr>
        <w:t>3.此表应经法定代表人或授权委托人签名，并加盖公章。</w:t>
      </w:r>
    </w:p>
    <w:p w14:paraId="201A74FC">
      <w:pPr>
        <w:numPr>
          <w:ilvl w:val="0"/>
          <w:numId w:val="0"/>
        </w:numPr>
        <w:adjustRightInd w:val="0"/>
        <w:spacing w:line="360" w:lineRule="auto"/>
        <w:jc w:val="left"/>
        <w:textAlignment w:val="baseline"/>
        <w:rPr>
          <w:rFonts w:hint="eastAsia"/>
          <w:color w:val="auto"/>
          <w:highlight w:val="none"/>
        </w:rPr>
      </w:pPr>
      <w:r>
        <w:rPr>
          <w:rFonts w:hint="eastAsia" w:ascii="宋体" w:hAnsi="宋体" w:eastAsia="宋体" w:cs="宋体"/>
          <w:b/>
          <w:snapToGrid w:val="0"/>
          <w:color w:val="auto"/>
          <w:kern w:val="0"/>
          <w:sz w:val="24"/>
          <w:highlight w:val="none"/>
          <w:lang w:val="en-US" w:eastAsia="zh-CN"/>
        </w:rPr>
        <w:t>4.</w:t>
      </w:r>
      <w:r>
        <w:rPr>
          <w:rFonts w:hint="eastAsia" w:ascii="宋体" w:hAnsi="宋体" w:eastAsia="宋体" w:cs="宋体"/>
          <w:b/>
          <w:snapToGrid w:val="0"/>
          <w:color w:val="auto"/>
          <w:kern w:val="0"/>
          <w:sz w:val="24"/>
          <w:highlight w:val="none"/>
        </w:rPr>
        <w:t>此表应按谈判文件要求单独密封于一信封内。</w:t>
      </w:r>
    </w:p>
    <w:p w14:paraId="29EFFF0E">
      <w:pPr>
        <w:pStyle w:val="2"/>
        <w:rPr>
          <w:rFonts w:hint="eastAsia"/>
          <w:color w:val="auto"/>
          <w:highlight w:val="none"/>
        </w:rPr>
      </w:pPr>
    </w:p>
    <w:p w14:paraId="083CAB43">
      <w:pPr>
        <w:pStyle w:val="2"/>
        <w:rPr>
          <w:rFonts w:hint="eastAsia"/>
          <w:color w:val="auto"/>
          <w:highlight w:val="none"/>
        </w:rPr>
      </w:pPr>
    </w:p>
    <w:p w14:paraId="4E462A37">
      <w:pPr>
        <w:pStyle w:val="3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5460"/>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fill="FFFFFF"/>
        </w:rPr>
        <w:t> </w:t>
      </w:r>
    </w:p>
    <w:p w14:paraId="537F1FE4">
      <w:pPr>
        <w:keepNext w:val="0"/>
        <w:keepLines w:val="0"/>
        <w:pageBreakBefore w:val="0"/>
        <w:widowControl w:val="0"/>
        <w:kinsoku/>
        <w:wordWrap/>
        <w:overflowPunct/>
        <w:topLinePunct w:val="0"/>
        <w:autoSpaceDE/>
        <w:autoSpaceDN/>
        <w:bidi w:val="0"/>
        <w:adjustRightInd/>
        <w:snapToGrid/>
        <w:spacing w:line="420" w:lineRule="exact"/>
        <w:ind w:firstLine="4080" w:firstLineChars="1700"/>
        <w:jc w:val="both"/>
        <w:textAlignment w:val="auto"/>
        <w:rPr>
          <w:rFonts w:hint="default" w:eastAsia="宋体"/>
          <w:color w:val="auto"/>
          <w:sz w:val="24"/>
          <w:szCs w:val="24"/>
          <w:highlight w:val="none"/>
          <w:u w:val="single"/>
          <w:lang w:val="en-US" w:eastAsia="zh-CN"/>
        </w:rPr>
      </w:pPr>
      <w:r>
        <w:rPr>
          <w:rFonts w:hint="eastAsia"/>
          <w:color w:val="auto"/>
          <w:sz w:val="24"/>
          <w:szCs w:val="24"/>
          <w:highlight w:val="none"/>
        </w:rPr>
        <w:t>供应商名称：（加盖公章</w:t>
      </w:r>
      <w:r>
        <w:rPr>
          <w:rFonts w:hint="eastAsia"/>
          <w:color w:val="auto"/>
          <w:sz w:val="24"/>
          <w:szCs w:val="24"/>
          <w:highlight w:val="none"/>
          <w:lang w:eastAsia="zh-CN"/>
        </w:rPr>
        <w:t>）</w:t>
      </w:r>
    </w:p>
    <w:p w14:paraId="251342F2">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eastAsia"/>
          <w:color w:val="auto"/>
          <w:sz w:val="24"/>
          <w:szCs w:val="24"/>
          <w:highlight w:val="none"/>
        </w:rPr>
      </w:pPr>
    </w:p>
    <w:p w14:paraId="64F3A3D9">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default" w:eastAsia="宋体"/>
          <w:color w:val="auto"/>
          <w:sz w:val="24"/>
          <w:szCs w:val="24"/>
          <w:highlight w:val="none"/>
          <w:u w:val="single"/>
          <w:lang w:val="en-US" w:eastAsia="zh-CN"/>
        </w:rPr>
      </w:pPr>
      <w:r>
        <w:rPr>
          <w:rFonts w:hint="eastAsia"/>
          <w:color w:val="auto"/>
          <w:sz w:val="24"/>
          <w:szCs w:val="24"/>
          <w:highlight w:val="none"/>
        </w:rPr>
        <w:t>法定代表人或</w:t>
      </w:r>
      <w:r>
        <w:rPr>
          <w:rFonts w:hint="eastAsia"/>
          <w:color w:val="auto"/>
          <w:sz w:val="24"/>
          <w:szCs w:val="24"/>
          <w:highlight w:val="none"/>
          <w:lang w:val="en-US" w:eastAsia="zh-CN"/>
        </w:rPr>
        <w:t>授权</w:t>
      </w:r>
      <w:r>
        <w:rPr>
          <w:rFonts w:hint="eastAsia"/>
          <w:color w:val="auto"/>
          <w:sz w:val="24"/>
          <w:szCs w:val="24"/>
          <w:highlight w:val="none"/>
        </w:rPr>
        <w:t>代表（签字）：</w:t>
      </w:r>
      <w:r>
        <w:rPr>
          <w:rFonts w:hint="eastAsia"/>
          <w:color w:val="auto"/>
          <w:sz w:val="24"/>
          <w:szCs w:val="24"/>
          <w:highlight w:val="none"/>
          <w:lang w:val="en-US" w:eastAsia="zh-CN"/>
        </w:rPr>
        <w:t xml:space="preserve"> </w:t>
      </w:r>
    </w:p>
    <w:p w14:paraId="7F5B7A36">
      <w:pPr>
        <w:pStyle w:val="2"/>
        <w:ind w:firstLine="4080" w:firstLineChars="1700"/>
        <w:rPr>
          <w:rFonts w:hint="eastAsia"/>
          <w:color w:val="auto"/>
          <w:sz w:val="24"/>
          <w:szCs w:val="24"/>
          <w:highlight w:val="none"/>
        </w:rPr>
      </w:pPr>
    </w:p>
    <w:p w14:paraId="6FFDF471">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r>
        <w:rPr>
          <w:rFonts w:hint="eastAsia"/>
          <w:color w:val="auto"/>
          <w:sz w:val="24"/>
          <w:szCs w:val="24"/>
          <w:highlight w:val="none"/>
          <w:lang w:val="en-US" w:eastAsia="zh-CN"/>
        </w:rPr>
        <w:t xml:space="preserve">            </w:t>
      </w:r>
      <w:r>
        <w:rPr>
          <w:rFonts w:hint="eastAsia"/>
          <w:color w:val="auto"/>
          <w:sz w:val="24"/>
          <w:szCs w:val="24"/>
          <w:highlight w:val="none"/>
        </w:rPr>
        <w:t>日期：</w:t>
      </w:r>
      <w:r>
        <w:rPr>
          <w:rFonts w:hint="eastAsia"/>
          <w:color w:val="auto"/>
          <w:sz w:val="24"/>
          <w:szCs w:val="24"/>
          <w:highlight w:val="none"/>
          <w:lang w:val="en-US" w:eastAsia="zh-CN"/>
        </w:rPr>
        <w:t xml:space="preserve">    年    月    日</w:t>
      </w:r>
    </w:p>
    <w:p w14:paraId="6676757D">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3134BEF4">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2BA34251">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24A22EEF">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p>
    <w:p w14:paraId="6F0C4457">
      <w:pPr>
        <w:rPr>
          <w:color w:val="auto"/>
          <w:highlight w:val="none"/>
        </w:rPr>
      </w:pPr>
      <w:r>
        <w:rPr>
          <w:rFonts w:hint="eastAsia" w:asciiTheme="majorEastAsia" w:hAnsiTheme="majorEastAsia" w:eastAsiaTheme="majorEastAsia"/>
          <w:b/>
          <w:bCs/>
          <w:color w:val="auto"/>
          <w:sz w:val="36"/>
          <w:szCs w:val="36"/>
          <w:highlight w:val="none"/>
        </w:rPr>
        <w:t xml:space="preserve"> </w:t>
      </w:r>
      <w:r>
        <w:rPr>
          <w:rFonts w:asciiTheme="majorEastAsia" w:hAnsiTheme="majorEastAsia" w:eastAsiaTheme="majorEastAsia"/>
          <w:b/>
          <w:bCs/>
          <w:color w:val="auto"/>
          <w:sz w:val="36"/>
          <w:szCs w:val="36"/>
          <w:highlight w:val="none"/>
        </w:rPr>
        <w:t xml:space="preserve"> </w:t>
      </w:r>
    </w:p>
    <w:p w14:paraId="010036D3">
      <w:pPr>
        <w:pStyle w:val="4"/>
        <w:jc w:val="center"/>
        <w:rPr>
          <w:rFonts w:hint="default" w:asciiTheme="majorEastAsia" w:hAnsiTheme="majorEastAsia" w:eastAsiaTheme="majorEastAsia"/>
          <w:color w:val="auto"/>
          <w:szCs w:val="36"/>
          <w:highlight w:val="none"/>
          <w:lang w:val="en-US" w:eastAsia="zh-CN"/>
        </w:rPr>
      </w:pPr>
      <w:r>
        <w:rPr>
          <w:rFonts w:hint="eastAsia" w:ascii="宋体" w:hAnsi="宋体" w:eastAsia="宋体" w:cs="宋体"/>
          <w:b/>
          <w:bCs w:val="0"/>
          <w:color w:val="auto"/>
          <w:kern w:val="2"/>
          <w:sz w:val="32"/>
          <w:szCs w:val="32"/>
          <w:highlight w:val="none"/>
          <w:lang w:val="en-US" w:eastAsia="zh-CN" w:bidi="ar"/>
          <w:woUserID w:val="2"/>
        </w:rPr>
        <w:t>格式五</w:t>
      </w:r>
      <w:r>
        <w:rPr>
          <w:rFonts w:hint="eastAsia" w:ascii="宋体" w:hAnsi="宋体" w:eastAsia="宋体" w:cs="Arial"/>
          <w:b/>
          <w:bCs w:val="0"/>
          <w:color w:val="auto"/>
          <w:kern w:val="2"/>
          <w:sz w:val="32"/>
          <w:szCs w:val="32"/>
          <w:highlight w:val="none"/>
          <w:lang w:val="en-US" w:eastAsia="zh-CN" w:bidi="ar"/>
          <w:woUserID w:val="2"/>
        </w:rPr>
        <w:t xml:space="preserve"> </w:t>
      </w:r>
      <w:r>
        <w:rPr>
          <w:rFonts w:hint="eastAsia" w:asciiTheme="majorEastAsia" w:hAnsiTheme="majorEastAsia" w:eastAsiaTheme="majorEastAsia"/>
          <w:color w:val="auto"/>
          <w:szCs w:val="36"/>
          <w:highlight w:val="none"/>
          <w:lang w:val="en-US" w:eastAsia="zh-CN"/>
        </w:rPr>
        <w:t>承诺函</w:t>
      </w:r>
    </w:p>
    <w:p w14:paraId="6E3CE1DD">
      <w:pPr>
        <w:pStyle w:val="125"/>
        <w:widowControl/>
        <w:ind w:left="0" w:leftChars="0" w:firstLine="0" w:firstLineChars="0"/>
        <w:rPr>
          <w:rFonts w:hint="eastAsia" w:ascii="Calibri" w:hAnsi="Calibri" w:eastAsia="宋体" w:cs="Times New Roman"/>
          <w:color w:val="auto"/>
          <w:kern w:val="2"/>
          <w:sz w:val="21"/>
          <w:szCs w:val="21"/>
          <w:highlight w:val="none"/>
          <w:woUserID w:val="2"/>
        </w:rPr>
      </w:pPr>
      <w:r>
        <w:rPr>
          <w:rFonts w:hint="eastAsia" w:ascii="Calibri" w:hAnsi="Calibri" w:eastAsia="宋体" w:cs="Times New Roman"/>
          <w:color w:val="auto"/>
          <w:kern w:val="2"/>
          <w:sz w:val="21"/>
          <w:szCs w:val="21"/>
          <w:highlight w:val="none"/>
          <w:woUserID w:val="2"/>
        </w:rPr>
        <w:t xml:space="preserve"> </w:t>
      </w:r>
    </w:p>
    <w:p w14:paraId="7F11545E">
      <w:pPr>
        <w:bidi w:val="0"/>
        <w:rPr>
          <w:rFonts w:hint="eastAsia"/>
          <w:color w:val="auto"/>
          <w:sz w:val="24"/>
          <w:szCs w:val="24"/>
          <w:highlight w:val="none"/>
          <w:lang w:val="en-US" w:eastAsia="zh-CN"/>
        </w:rPr>
      </w:pPr>
      <w:r>
        <w:rPr>
          <w:rFonts w:hint="eastAsia"/>
          <w:color w:val="auto"/>
          <w:sz w:val="24"/>
          <w:szCs w:val="24"/>
          <w:highlight w:val="none"/>
          <w:lang w:val="en-US" w:eastAsia="zh-CN"/>
        </w:rPr>
        <w:t>致</w:t>
      </w:r>
      <w:r>
        <w:rPr>
          <w:rFonts w:hint="eastAsia"/>
          <w:color w:val="auto"/>
          <w:sz w:val="24"/>
          <w:szCs w:val="24"/>
          <w:highlight w:val="none"/>
          <w:lang w:eastAsia="zh-CN"/>
        </w:rPr>
        <w:t>厦门航空有限公司北方总部</w:t>
      </w:r>
      <w:r>
        <w:rPr>
          <w:rFonts w:hint="eastAsia"/>
          <w:color w:val="auto"/>
          <w:sz w:val="24"/>
          <w:szCs w:val="24"/>
          <w:highlight w:val="none"/>
          <w:lang w:val="en-US" w:eastAsia="zh-CN"/>
        </w:rPr>
        <w:t>：</w:t>
      </w:r>
    </w:p>
    <w:p w14:paraId="408A3FC1">
      <w:pPr>
        <w:bidi w:val="0"/>
        <w:rPr>
          <w:rFonts w:hint="eastAsia"/>
          <w:color w:val="auto"/>
          <w:sz w:val="24"/>
          <w:szCs w:val="24"/>
          <w:highlight w:val="none"/>
          <w:lang w:val="en-US" w:eastAsia="zh-CN"/>
        </w:rPr>
      </w:pPr>
      <w:r>
        <w:rPr>
          <w:rFonts w:hint="eastAsia"/>
          <w:color w:val="auto"/>
          <w:sz w:val="24"/>
          <w:szCs w:val="24"/>
          <w:highlight w:val="none"/>
          <w:lang w:val="en-US" w:eastAsia="zh-CN"/>
        </w:rPr>
        <w:t xml:space="preserve">  </w:t>
      </w:r>
    </w:p>
    <w:p w14:paraId="12485D6E">
      <w:pPr>
        <w:bidi w:val="0"/>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我司郑重承诺如下:</w:t>
      </w:r>
    </w:p>
    <w:p w14:paraId="2A946E52">
      <w:pPr>
        <w:pStyle w:val="2"/>
        <w:rPr>
          <w:rFonts w:hint="eastAsia"/>
          <w:color w:val="auto"/>
          <w:highlight w:val="none"/>
          <w:lang w:val="en-US" w:eastAsia="zh-CN"/>
        </w:rPr>
      </w:pPr>
    </w:p>
    <w:p w14:paraId="7239C0AD">
      <w:pPr>
        <w:keepNext w:val="0"/>
        <w:keepLines w:val="0"/>
        <w:pageBreakBefore w:val="0"/>
        <w:widowControl w:val="0"/>
        <w:numPr>
          <w:ilvl w:val="0"/>
          <w:numId w:val="38"/>
        </w:numPr>
        <w:kinsoku/>
        <w:wordWrap/>
        <w:overflowPunct/>
        <w:topLinePunct w:val="0"/>
        <w:autoSpaceDE/>
        <w:autoSpaceDN/>
        <w:bidi w:val="0"/>
        <w:adjustRightInd/>
        <w:snapToGrid/>
        <w:spacing w:line="240" w:lineRule="auto"/>
        <w:ind w:firstLine="480" w:firstLineChars="200"/>
        <w:jc w:val="left"/>
        <w:textAlignment w:val="auto"/>
        <w:rPr>
          <w:rFonts w:hint="default"/>
          <w:color w:val="auto"/>
          <w:sz w:val="24"/>
          <w:szCs w:val="24"/>
          <w:highlight w:val="none"/>
          <w:lang w:val="en-US" w:eastAsia="zh-CN"/>
        </w:rPr>
      </w:pPr>
      <w:r>
        <w:rPr>
          <w:rFonts w:hint="default"/>
          <w:color w:val="auto"/>
          <w:sz w:val="24"/>
          <w:szCs w:val="24"/>
          <w:highlight w:val="none"/>
          <w:lang w:val="en-US" w:eastAsia="zh-CN"/>
        </w:rPr>
        <w:t>承诺可以提供符合国家规定的正规的增值税专用发票</w:t>
      </w:r>
      <w:r>
        <w:rPr>
          <w:rFonts w:hint="eastAsia"/>
          <w:color w:val="auto"/>
          <w:sz w:val="24"/>
          <w:szCs w:val="24"/>
          <w:highlight w:val="none"/>
          <w:lang w:val="en-US" w:eastAsia="zh-CN"/>
        </w:rPr>
        <w:t>。</w:t>
      </w:r>
    </w:p>
    <w:p w14:paraId="289EBA1C">
      <w:pPr>
        <w:keepNext w:val="0"/>
        <w:keepLines w:val="0"/>
        <w:pageBreakBefore w:val="0"/>
        <w:widowControl w:val="0"/>
        <w:numPr>
          <w:ilvl w:val="0"/>
          <w:numId w:val="38"/>
        </w:numPr>
        <w:kinsoku/>
        <w:wordWrap/>
        <w:overflowPunct/>
        <w:topLinePunct w:val="0"/>
        <w:autoSpaceDE/>
        <w:autoSpaceDN/>
        <w:bidi w:val="0"/>
        <w:adjustRightInd/>
        <w:snapToGrid/>
        <w:spacing w:line="240" w:lineRule="auto"/>
        <w:ind w:left="0" w:leftChars="0" w:firstLine="480" w:firstLineChars="200"/>
        <w:jc w:val="left"/>
        <w:textAlignment w:val="auto"/>
        <w:rPr>
          <w:rFonts w:hint="default"/>
          <w:color w:val="auto"/>
          <w:sz w:val="24"/>
          <w:szCs w:val="24"/>
          <w:highlight w:val="none"/>
          <w:lang w:val="en-US" w:eastAsia="zh-CN"/>
        </w:rPr>
      </w:pPr>
      <w:r>
        <w:rPr>
          <w:rFonts w:hint="default"/>
          <w:color w:val="auto"/>
          <w:sz w:val="24"/>
          <w:szCs w:val="24"/>
          <w:highlight w:val="none"/>
          <w:lang w:val="en-US" w:eastAsia="zh-CN"/>
        </w:rPr>
        <w:t>响应内容与采购内容及要求不存在重大偏离或保留。</w:t>
      </w:r>
    </w:p>
    <w:p w14:paraId="64F70C2D">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如有虚假，我司承担相应的法律责任。</w:t>
      </w:r>
    </w:p>
    <w:p w14:paraId="48E22E4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color w:val="auto"/>
          <w:highlight w:val="none"/>
        </w:rPr>
      </w:pPr>
    </w:p>
    <w:p w14:paraId="1464CB4D">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color w:val="auto"/>
          <w:sz w:val="24"/>
          <w:szCs w:val="24"/>
          <w:highlight w:val="none"/>
        </w:rPr>
      </w:pPr>
    </w:p>
    <w:p w14:paraId="45A84F1B">
      <w:pPr>
        <w:keepNext w:val="0"/>
        <w:keepLines w:val="0"/>
        <w:pageBreakBefore w:val="0"/>
        <w:widowControl w:val="0"/>
        <w:kinsoku/>
        <w:wordWrap/>
        <w:overflowPunct/>
        <w:topLinePunct w:val="0"/>
        <w:autoSpaceDE/>
        <w:autoSpaceDN/>
        <w:bidi w:val="0"/>
        <w:adjustRightInd/>
        <w:snapToGrid/>
        <w:spacing w:line="420" w:lineRule="exact"/>
        <w:ind w:firstLine="4080" w:firstLineChars="1700"/>
        <w:jc w:val="both"/>
        <w:textAlignment w:val="auto"/>
        <w:rPr>
          <w:rFonts w:hint="default" w:eastAsia="宋体"/>
          <w:color w:val="auto"/>
          <w:sz w:val="24"/>
          <w:szCs w:val="24"/>
          <w:highlight w:val="none"/>
          <w:u w:val="single"/>
          <w:lang w:val="en-US" w:eastAsia="zh-CN"/>
        </w:rPr>
      </w:pPr>
      <w:r>
        <w:rPr>
          <w:rFonts w:hint="eastAsia"/>
          <w:color w:val="auto"/>
          <w:sz w:val="24"/>
          <w:szCs w:val="24"/>
          <w:highlight w:val="none"/>
        </w:rPr>
        <w:t>供应商名称：（加盖公章</w:t>
      </w:r>
      <w:r>
        <w:rPr>
          <w:rFonts w:hint="eastAsia"/>
          <w:color w:val="auto"/>
          <w:sz w:val="24"/>
          <w:szCs w:val="24"/>
          <w:highlight w:val="none"/>
          <w:lang w:eastAsia="zh-CN"/>
        </w:rPr>
        <w:t>）</w:t>
      </w:r>
    </w:p>
    <w:p w14:paraId="025840CF">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eastAsia"/>
          <w:color w:val="auto"/>
          <w:sz w:val="24"/>
          <w:szCs w:val="24"/>
          <w:highlight w:val="none"/>
        </w:rPr>
      </w:pPr>
    </w:p>
    <w:p w14:paraId="248006CF">
      <w:pPr>
        <w:keepNext w:val="0"/>
        <w:keepLines w:val="0"/>
        <w:pageBreakBefore w:val="0"/>
        <w:widowControl w:val="0"/>
        <w:kinsoku/>
        <w:wordWrap/>
        <w:overflowPunct/>
        <w:topLinePunct w:val="0"/>
        <w:autoSpaceDE/>
        <w:autoSpaceDN/>
        <w:bidi w:val="0"/>
        <w:adjustRightInd/>
        <w:snapToGrid/>
        <w:spacing w:line="420" w:lineRule="exact"/>
        <w:ind w:firstLine="4080" w:firstLineChars="1700"/>
        <w:textAlignment w:val="auto"/>
        <w:rPr>
          <w:rFonts w:hint="default" w:eastAsia="宋体"/>
          <w:color w:val="auto"/>
          <w:sz w:val="24"/>
          <w:szCs w:val="24"/>
          <w:highlight w:val="none"/>
          <w:u w:val="single"/>
          <w:lang w:val="en-US" w:eastAsia="zh-CN"/>
        </w:rPr>
      </w:pPr>
      <w:r>
        <w:rPr>
          <w:rFonts w:hint="eastAsia"/>
          <w:color w:val="auto"/>
          <w:sz w:val="24"/>
          <w:szCs w:val="24"/>
          <w:highlight w:val="none"/>
        </w:rPr>
        <w:t>法定代表人或</w:t>
      </w:r>
      <w:r>
        <w:rPr>
          <w:rFonts w:hint="eastAsia"/>
          <w:color w:val="auto"/>
          <w:sz w:val="24"/>
          <w:szCs w:val="24"/>
          <w:highlight w:val="none"/>
          <w:lang w:val="en-US" w:eastAsia="zh-CN"/>
        </w:rPr>
        <w:t>授权</w:t>
      </w:r>
      <w:r>
        <w:rPr>
          <w:rFonts w:hint="eastAsia"/>
          <w:color w:val="auto"/>
          <w:sz w:val="24"/>
          <w:szCs w:val="24"/>
          <w:highlight w:val="none"/>
        </w:rPr>
        <w:t>代表（签字）：</w:t>
      </w:r>
      <w:r>
        <w:rPr>
          <w:rFonts w:hint="eastAsia"/>
          <w:color w:val="auto"/>
          <w:sz w:val="24"/>
          <w:szCs w:val="24"/>
          <w:highlight w:val="none"/>
          <w:lang w:val="en-US" w:eastAsia="zh-CN"/>
        </w:rPr>
        <w:t xml:space="preserve"> </w:t>
      </w:r>
    </w:p>
    <w:p w14:paraId="2A8BC5D1">
      <w:pPr>
        <w:pStyle w:val="2"/>
        <w:ind w:firstLine="4080" w:firstLineChars="1700"/>
        <w:rPr>
          <w:rFonts w:hint="eastAsia"/>
          <w:color w:val="auto"/>
          <w:sz w:val="24"/>
          <w:szCs w:val="24"/>
          <w:highlight w:val="none"/>
        </w:rPr>
      </w:pPr>
    </w:p>
    <w:p w14:paraId="3DC9C9A4">
      <w:pPr>
        <w:pStyle w:val="34"/>
        <w:widowControl/>
        <w:shd w:val="clear" w:color="auto" w:fill="FFFFFF"/>
        <w:spacing w:beforeAutospacing="0" w:afterAutospacing="0" w:line="360" w:lineRule="auto"/>
        <w:jc w:val="center"/>
        <w:rPr>
          <w:rFonts w:hint="eastAsia"/>
          <w:color w:val="auto"/>
          <w:sz w:val="24"/>
          <w:szCs w:val="24"/>
          <w:highlight w:val="none"/>
          <w:lang w:val="en-US" w:eastAsia="zh-CN"/>
        </w:rPr>
      </w:pPr>
      <w:r>
        <w:rPr>
          <w:rFonts w:hint="eastAsia"/>
          <w:color w:val="auto"/>
          <w:sz w:val="24"/>
          <w:szCs w:val="24"/>
          <w:highlight w:val="none"/>
          <w:lang w:val="en-US" w:eastAsia="zh-CN"/>
        </w:rPr>
        <w:t xml:space="preserve">            </w:t>
      </w:r>
      <w:r>
        <w:rPr>
          <w:rFonts w:hint="eastAsia"/>
          <w:color w:val="auto"/>
          <w:sz w:val="24"/>
          <w:szCs w:val="24"/>
          <w:highlight w:val="none"/>
        </w:rPr>
        <w:t>日期：</w:t>
      </w:r>
      <w:r>
        <w:rPr>
          <w:rFonts w:hint="eastAsia"/>
          <w:color w:val="auto"/>
          <w:sz w:val="24"/>
          <w:szCs w:val="24"/>
          <w:highlight w:val="none"/>
          <w:lang w:val="en-US" w:eastAsia="zh-CN"/>
        </w:rPr>
        <w:t xml:space="preserve">    年    月    日</w:t>
      </w:r>
    </w:p>
    <w:p w14:paraId="11EAA564">
      <w:pPr>
        <w:spacing w:line="360" w:lineRule="auto"/>
        <w:rPr>
          <w:rFonts w:hint="eastAsia" w:ascii="宋体" w:hAnsi="宋体" w:eastAsia="宋体" w:cs="宋体"/>
          <w:color w:val="auto"/>
          <w:sz w:val="24"/>
          <w:highlight w:val="none"/>
        </w:rPr>
      </w:pPr>
    </w:p>
    <w:p w14:paraId="7C1DD978">
      <w:pPr>
        <w:ind w:firstLine="0"/>
        <w:jc w:val="both"/>
        <w:rPr>
          <w:rFonts w:asciiTheme="majorEastAsia" w:hAnsiTheme="majorEastAsia" w:eastAsiaTheme="majorEastAsia"/>
          <w:b/>
          <w:color w:val="auto"/>
          <w:sz w:val="32"/>
          <w:szCs w:val="32"/>
          <w:highlight w:val="none"/>
        </w:rPr>
      </w:pPr>
      <w:bookmarkStart w:id="8" w:name="_Toc348857759"/>
      <w:bookmarkEnd w:id="8"/>
      <w:bookmarkStart w:id="9" w:name="_Toc348857744"/>
      <w:bookmarkEnd w:id="9"/>
      <w:bookmarkStart w:id="10" w:name="_Toc348857816"/>
      <w:bookmarkEnd w:id="10"/>
      <w:bookmarkStart w:id="11" w:name="_Toc348857775"/>
      <w:bookmarkEnd w:id="11"/>
      <w:bookmarkStart w:id="12" w:name="_Toc348857820"/>
      <w:bookmarkEnd w:id="12"/>
      <w:bookmarkStart w:id="13" w:name="_Toc348857756"/>
      <w:bookmarkEnd w:id="13"/>
      <w:bookmarkStart w:id="14" w:name="_Toc348857726"/>
      <w:bookmarkEnd w:id="14"/>
      <w:bookmarkStart w:id="15" w:name="_Toc348857765"/>
      <w:bookmarkEnd w:id="15"/>
      <w:bookmarkStart w:id="16" w:name="_Toc348857763"/>
      <w:bookmarkEnd w:id="16"/>
      <w:bookmarkStart w:id="17" w:name="_Toc348857734"/>
      <w:bookmarkEnd w:id="17"/>
      <w:bookmarkStart w:id="18" w:name="_Toc348854969"/>
      <w:bookmarkEnd w:id="18"/>
      <w:bookmarkStart w:id="19" w:name="_Toc348854948"/>
      <w:bookmarkEnd w:id="19"/>
      <w:bookmarkStart w:id="20" w:name="_Toc348854971"/>
      <w:bookmarkEnd w:id="20"/>
      <w:bookmarkStart w:id="21" w:name="_Toc348857808"/>
      <w:bookmarkEnd w:id="21"/>
      <w:bookmarkStart w:id="22" w:name="_Toc348857817"/>
      <w:bookmarkEnd w:id="22"/>
      <w:bookmarkStart w:id="23" w:name="_Toc348857732"/>
      <w:bookmarkEnd w:id="23"/>
      <w:bookmarkStart w:id="24" w:name="_8.投标货币"/>
      <w:bookmarkEnd w:id="24"/>
      <w:bookmarkStart w:id="25" w:name="_Toc348857804"/>
      <w:bookmarkEnd w:id="25"/>
      <w:bookmarkStart w:id="26" w:name="_Toc348857780"/>
      <w:bookmarkEnd w:id="26"/>
      <w:bookmarkStart w:id="27" w:name="_Toc348857737"/>
      <w:bookmarkEnd w:id="27"/>
      <w:bookmarkStart w:id="28" w:name="_Toc348857764"/>
      <w:bookmarkEnd w:id="28"/>
      <w:bookmarkStart w:id="29" w:name="_Toc348854968"/>
      <w:bookmarkEnd w:id="29"/>
      <w:bookmarkStart w:id="30" w:name="_外部接口需求"/>
      <w:bookmarkEnd w:id="30"/>
      <w:bookmarkStart w:id="31" w:name="_Toc348854949"/>
      <w:bookmarkEnd w:id="31"/>
      <w:bookmarkStart w:id="32" w:name="_Toc348857806"/>
      <w:bookmarkEnd w:id="32"/>
      <w:bookmarkStart w:id="33" w:name="_Toc348857725"/>
      <w:bookmarkEnd w:id="33"/>
      <w:bookmarkStart w:id="34" w:name="_Toc348857751"/>
      <w:bookmarkEnd w:id="34"/>
      <w:bookmarkStart w:id="35" w:name="_Toc348854967"/>
      <w:bookmarkEnd w:id="35"/>
      <w:bookmarkStart w:id="36" w:name="_Toc348857782"/>
      <w:bookmarkEnd w:id="36"/>
      <w:bookmarkStart w:id="37" w:name="_Toc348857752"/>
      <w:bookmarkEnd w:id="37"/>
      <w:bookmarkStart w:id="38" w:name="_Toc348857735"/>
      <w:bookmarkEnd w:id="38"/>
      <w:bookmarkStart w:id="39" w:name="_Toc348857745"/>
      <w:bookmarkEnd w:id="39"/>
      <w:bookmarkStart w:id="40" w:name="_Toc348857785"/>
      <w:bookmarkEnd w:id="40"/>
      <w:bookmarkStart w:id="41" w:name="_Toc348857770"/>
      <w:bookmarkEnd w:id="41"/>
      <w:bookmarkStart w:id="42" w:name="_Toc348857758"/>
      <w:bookmarkEnd w:id="42"/>
      <w:bookmarkStart w:id="43" w:name="_Toc348857738"/>
      <w:bookmarkEnd w:id="43"/>
      <w:bookmarkStart w:id="44" w:name="_Toc348854946"/>
      <w:bookmarkEnd w:id="44"/>
      <w:bookmarkStart w:id="45" w:name="_Toc348854970"/>
      <w:bookmarkEnd w:id="45"/>
      <w:bookmarkStart w:id="46" w:name="_Toc348857787"/>
      <w:bookmarkEnd w:id="46"/>
      <w:bookmarkStart w:id="47" w:name="_Toc348857746"/>
      <w:bookmarkEnd w:id="47"/>
      <w:bookmarkStart w:id="48" w:name="_Toc348854945"/>
      <w:bookmarkEnd w:id="48"/>
      <w:bookmarkStart w:id="49" w:name="_Toc348857749"/>
      <w:bookmarkEnd w:id="49"/>
      <w:bookmarkStart w:id="50" w:name="_Toc348857805"/>
      <w:bookmarkEnd w:id="50"/>
      <w:bookmarkStart w:id="51" w:name="_Toc348857761"/>
      <w:bookmarkEnd w:id="51"/>
      <w:bookmarkStart w:id="52" w:name="_Toc348857819"/>
      <w:bookmarkEnd w:id="52"/>
      <w:bookmarkStart w:id="53" w:name="_Toc348857757"/>
      <w:bookmarkEnd w:id="53"/>
      <w:bookmarkStart w:id="54" w:name="_Toc348857730"/>
      <w:bookmarkEnd w:id="54"/>
      <w:bookmarkStart w:id="55" w:name="_Toc348854964"/>
      <w:bookmarkEnd w:id="55"/>
      <w:bookmarkStart w:id="56" w:name="_Toc348857731"/>
      <w:bookmarkEnd w:id="56"/>
      <w:bookmarkStart w:id="57" w:name="_Toc348857786"/>
      <w:bookmarkEnd w:id="57"/>
      <w:bookmarkStart w:id="58" w:name="_Toc348857766"/>
      <w:bookmarkEnd w:id="58"/>
      <w:bookmarkStart w:id="59" w:name="_Toc348857747"/>
      <w:bookmarkEnd w:id="59"/>
      <w:bookmarkStart w:id="60" w:name="_Toc348857760"/>
      <w:bookmarkEnd w:id="60"/>
      <w:bookmarkStart w:id="61" w:name="_Toc348857753"/>
      <w:bookmarkEnd w:id="61"/>
      <w:bookmarkStart w:id="62" w:name="_Toc348857750"/>
      <w:bookmarkEnd w:id="62"/>
      <w:bookmarkStart w:id="63" w:name="_Toc348857768"/>
      <w:bookmarkEnd w:id="63"/>
      <w:bookmarkStart w:id="64" w:name="_Toc348857788"/>
      <w:bookmarkEnd w:id="64"/>
      <w:bookmarkStart w:id="65" w:name="_Toc348854966"/>
      <w:bookmarkEnd w:id="65"/>
      <w:bookmarkStart w:id="66" w:name="_Toc348857754"/>
      <w:bookmarkEnd w:id="66"/>
      <w:bookmarkStart w:id="67" w:name="_Toc348857762"/>
      <w:bookmarkEnd w:id="67"/>
      <w:bookmarkStart w:id="68" w:name="_Toc348857783"/>
      <w:bookmarkEnd w:id="68"/>
      <w:bookmarkStart w:id="69" w:name="_Toc348854972"/>
      <w:bookmarkEnd w:id="69"/>
      <w:bookmarkStart w:id="70" w:name="_Toc348857736"/>
      <w:bookmarkEnd w:id="70"/>
      <w:bookmarkStart w:id="71" w:name="_Toc348854965"/>
      <w:bookmarkEnd w:id="71"/>
      <w:bookmarkStart w:id="72" w:name="_Toc348857755"/>
      <w:bookmarkEnd w:id="72"/>
      <w:bookmarkStart w:id="73" w:name="_Toc348857739"/>
      <w:bookmarkEnd w:id="73"/>
      <w:bookmarkStart w:id="74" w:name="_Toc348857743"/>
      <w:bookmarkEnd w:id="74"/>
      <w:bookmarkStart w:id="75" w:name="_Toc348857769"/>
      <w:bookmarkEnd w:id="75"/>
      <w:bookmarkStart w:id="76" w:name="_Toc348857724"/>
      <w:bookmarkEnd w:id="76"/>
      <w:bookmarkStart w:id="77" w:name="_Toc348857818"/>
      <w:bookmarkEnd w:id="77"/>
      <w:bookmarkStart w:id="78" w:name="_Toc348857781"/>
      <w:bookmarkEnd w:id="78"/>
      <w:bookmarkStart w:id="79" w:name="_Toc348857767"/>
      <w:bookmarkEnd w:id="79"/>
      <w:bookmarkStart w:id="80" w:name="_Toc348857733"/>
      <w:bookmarkEnd w:id="80"/>
      <w:bookmarkStart w:id="81" w:name="_Toc348857807"/>
      <w:bookmarkEnd w:id="81"/>
      <w:bookmarkStart w:id="82" w:name="_Toc348857771"/>
      <w:bookmarkEnd w:id="82"/>
      <w:bookmarkStart w:id="83" w:name="_Toc348857748"/>
      <w:bookmarkEnd w:id="83"/>
      <w:bookmarkStart w:id="84" w:name="_Toc348857784"/>
      <w:bookmarkEnd w:id="84"/>
      <w:bookmarkStart w:id="85" w:name="_目__录"/>
      <w:bookmarkEnd w:id="85"/>
    </w:p>
    <w:sectPr>
      <w:footerReference r:id="rId5" w:type="default"/>
      <w:footerReference r:id="rId6" w:type="even"/>
      <w:pgSz w:w="11906" w:h="16838"/>
      <w:pgMar w:top="1134" w:right="1134" w:bottom="1134" w:left="115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077BB">
    <w:pPr>
      <w:pStyle w:val="25"/>
      <w:framePr w:wrap="around" w:vAnchor="text" w:hAnchor="page" w:x="6089" w:y="3"/>
      <w:ind w:firstLine="360"/>
      <w:rPr>
        <w:rStyle w:val="41"/>
      </w:rPr>
    </w:pPr>
    <w:r>
      <w:fldChar w:fldCharType="begin"/>
    </w:r>
    <w:r>
      <w:rPr>
        <w:rStyle w:val="41"/>
      </w:rPr>
      <w:instrText xml:space="preserve">PAGE  </w:instrText>
    </w:r>
    <w:r>
      <w:fldChar w:fldCharType="separate"/>
    </w:r>
    <w:r>
      <w:rPr>
        <w:rStyle w:val="41"/>
      </w:rPr>
      <w:t>1</w:t>
    </w:r>
    <w:r>
      <w:fldChar w:fldCharType="end"/>
    </w:r>
  </w:p>
  <w:p w14:paraId="235AA18D">
    <w:pPr>
      <w:pStyle w:val="2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59426">
    <w:pPr>
      <w:pStyle w:val="25"/>
      <w:framePr w:wrap="around" w:vAnchor="text" w:hAnchor="margin" w:xAlign="right" w:y="1"/>
      <w:ind w:firstLine="360"/>
      <w:rPr>
        <w:rStyle w:val="41"/>
      </w:rPr>
    </w:pPr>
    <w:r>
      <w:fldChar w:fldCharType="begin"/>
    </w:r>
    <w:r>
      <w:rPr>
        <w:rStyle w:val="41"/>
      </w:rPr>
      <w:instrText xml:space="preserve">PAGE  </w:instrText>
    </w:r>
    <w:r>
      <w:fldChar w:fldCharType="end"/>
    </w:r>
  </w:p>
  <w:p w14:paraId="6BC18D0D">
    <w:pPr>
      <w:pStyle w:val="2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DC07D">
    <w:pPr>
      <w:pStyle w:val="25"/>
      <w:framePr w:wrap="around" w:vAnchor="text" w:hAnchor="page" w:x="6089" w:y="3"/>
      <w:ind w:firstLine="360"/>
      <w:rPr>
        <w:rStyle w:val="41"/>
      </w:rPr>
    </w:pPr>
    <w:r>
      <w:rPr>
        <w:rStyle w:val="41"/>
      </w:rPr>
      <w:fldChar w:fldCharType="begin"/>
    </w:r>
    <w:r>
      <w:rPr>
        <w:rStyle w:val="41"/>
      </w:rPr>
      <w:instrText xml:space="preserve">PAGE  </w:instrText>
    </w:r>
    <w:r>
      <w:rPr>
        <w:rStyle w:val="41"/>
      </w:rPr>
      <w:fldChar w:fldCharType="separate"/>
    </w:r>
    <w:r>
      <w:rPr>
        <w:rStyle w:val="41"/>
      </w:rPr>
      <w:t>36</w:t>
    </w:r>
    <w:r>
      <w:rPr>
        <w:rStyle w:val="41"/>
      </w:rPr>
      <w:fldChar w:fldCharType="end"/>
    </w:r>
  </w:p>
  <w:p w14:paraId="04482AB2">
    <w:pPr>
      <w:pStyle w:val="25"/>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4007A">
    <w:pPr>
      <w:pStyle w:val="25"/>
      <w:framePr w:wrap="around" w:vAnchor="text" w:hAnchor="margin" w:xAlign="right" w:y="1"/>
      <w:ind w:firstLine="360"/>
      <w:rPr>
        <w:rStyle w:val="41"/>
      </w:rPr>
    </w:pPr>
    <w:r>
      <w:rPr>
        <w:rStyle w:val="41"/>
      </w:rPr>
      <w:fldChar w:fldCharType="begin"/>
    </w:r>
    <w:r>
      <w:rPr>
        <w:rStyle w:val="41"/>
      </w:rPr>
      <w:instrText xml:space="preserve">PAGE  </w:instrText>
    </w:r>
    <w:r>
      <w:rPr>
        <w:rStyle w:val="41"/>
      </w:rPr>
      <w:fldChar w:fldCharType="end"/>
    </w:r>
  </w:p>
  <w:p w14:paraId="715D4431">
    <w:pPr>
      <w:pStyle w:val="2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60FBC"/>
    <w:multiLevelType w:val="singleLevel"/>
    <w:tmpl w:val="87460FBC"/>
    <w:lvl w:ilvl="0" w:tentative="0">
      <w:start w:val="1"/>
      <w:numFmt w:val="decimal"/>
      <w:lvlText w:val="(%1)"/>
      <w:lvlJc w:val="left"/>
      <w:pPr>
        <w:tabs>
          <w:tab w:val="left" w:pos="312"/>
        </w:tabs>
      </w:pPr>
    </w:lvl>
  </w:abstractNum>
  <w:abstractNum w:abstractNumId="1">
    <w:nsid w:val="8E6A0539"/>
    <w:multiLevelType w:val="singleLevel"/>
    <w:tmpl w:val="8E6A0539"/>
    <w:lvl w:ilvl="0" w:tentative="0">
      <w:start w:val="1"/>
      <w:numFmt w:val="decimal"/>
      <w:lvlText w:val="(%1)"/>
      <w:lvlJc w:val="left"/>
      <w:pPr>
        <w:ind w:left="425" w:hanging="425"/>
      </w:pPr>
      <w:rPr>
        <w:rFonts w:hint="default"/>
      </w:rPr>
    </w:lvl>
  </w:abstractNum>
  <w:abstractNum w:abstractNumId="2">
    <w:nsid w:val="9D16C4CA"/>
    <w:multiLevelType w:val="multilevel"/>
    <w:tmpl w:val="9D16C4CA"/>
    <w:lvl w:ilvl="0" w:tentative="0">
      <w:start w:val="1"/>
      <w:numFmt w:val="decimal"/>
      <w:lvlText w:val="%1."/>
      <w:lvlJc w:val="left"/>
      <w:pPr>
        <w:ind w:left="425" w:hanging="425"/>
      </w:pPr>
      <w:rPr>
        <w:rFonts w:hint="eastAsia"/>
      </w:rPr>
    </w:lvl>
    <w:lvl w:ilvl="1" w:tentative="0">
      <w:start w:val="1"/>
      <w:numFmt w:val="decimal"/>
      <w:lvlText w:val="%1.%2."/>
      <w:lvlJc w:val="left"/>
      <w:pPr>
        <w:ind w:left="993" w:hanging="567"/>
      </w:pPr>
      <w:rPr>
        <w:rFonts w:hint="eastAsia"/>
        <w:b w:val="0"/>
        <w:sz w:val="21"/>
        <w:szCs w:val="21"/>
      </w:rPr>
    </w:lvl>
    <w:lvl w:ilvl="2" w:tentative="0">
      <w:start w:val="1"/>
      <w:numFmt w:val="decimal"/>
      <w:lvlText w:val="%1.%2.%3."/>
      <w:lvlJc w:val="left"/>
      <w:pPr>
        <w:ind w:left="709" w:hanging="709"/>
      </w:pPr>
      <w:rPr>
        <w:rFonts w:hint="eastAsia" w:ascii="宋体" w:hAnsi="宋体" w:eastAsia="宋体"/>
        <w:b w:val="0"/>
        <w:sz w:val="21"/>
        <w:szCs w:val="21"/>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E289C158"/>
    <w:multiLevelType w:val="singleLevel"/>
    <w:tmpl w:val="E289C158"/>
    <w:lvl w:ilvl="0" w:tentative="0">
      <w:start w:val="1"/>
      <w:numFmt w:val="decimal"/>
      <w:suff w:val="space"/>
      <w:lvlText w:val="%1."/>
      <w:lvlJc w:val="left"/>
    </w:lvl>
  </w:abstractNum>
  <w:abstractNum w:abstractNumId="4">
    <w:nsid w:val="F60FCBE4"/>
    <w:multiLevelType w:val="singleLevel"/>
    <w:tmpl w:val="F60FCBE4"/>
    <w:lvl w:ilvl="0" w:tentative="0">
      <w:start w:val="2"/>
      <w:numFmt w:val="chineseCounting"/>
      <w:suff w:val="nothing"/>
      <w:lvlText w:val="%1、"/>
      <w:lvlJc w:val="left"/>
      <w:rPr>
        <w:rFonts w:hint="eastAsia"/>
      </w:rPr>
    </w:lvl>
  </w:abstractNum>
  <w:abstractNum w:abstractNumId="5">
    <w:nsid w:val="00000018"/>
    <w:multiLevelType w:val="multilevel"/>
    <w:tmpl w:val="00000018"/>
    <w:lvl w:ilvl="0" w:tentative="0">
      <w:start w:val="1"/>
      <w:numFmt w:val="bullet"/>
      <w:pStyle w:val="88"/>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14D0778"/>
    <w:multiLevelType w:val="multilevel"/>
    <w:tmpl w:val="014D077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1FA150E"/>
    <w:multiLevelType w:val="multilevel"/>
    <w:tmpl w:val="01FA150E"/>
    <w:lvl w:ilvl="0" w:tentative="0">
      <w:start w:val="1"/>
      <w:numFmt w:val="decimal"/>
      <w:lvlText w:val="%1."/>
      <w:lvlJc w:val="left"/>
      <w:pPr>
        <w:ind w:left="425" w:hanging="425"/>
      </w:pPr>
      <w:rPr>
        <w:rFonts w:hint="eastAsia"/>
      </w:rPr>
    </w:lvl>
    <w:lvl w:ilvl="1" w:tentative="0">
      <w:start w:val="1"/>
      <w:numFmt w:val="decimal"/>
      <w:lvlText w:val="%1.%2."/>
      <w:lvlJc w:val="left"/>
      <w:pPr>
        <w:ind w:left="993" w:hanging="567"/>
      </w:pPr>
      <w:rPr>
        <w:rFonts w:hint="eastAsia"/>
        <w:b w:val="0"/>
        <w:sz w:val="21"/>
        <w:szCs w:val="21"/>
      </w:rPr>
    </w:lvl>
    <w:lvl w:ilvl="2" w:tentative="0">
      <w:start w:val="1"/>
      <w:numFmt w:val="decimal"/>
      <w:lvlText w:val="%1.%2.%3."/>
      <w:lvlJc w:val="left"/>
      <w:pPr>
        <w:ind w:left="709" w:hanging="709"/>
      </w:pPr>
      <w:rPr>
        <w:rFonts w:hint="eastAsia" w:ascii="宋体" w:hAnsi="宋体" w:eastAsia="宋体"/>
        <w:b w:val="0"/>
        <w:sz w:val="21"/>
        <w:szCs w:val="21"/>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
    <w:nsid w:val="022E49BD"/>
    <w:multiLevelType w:val="multilevel"/>
    <w:tmpl w:val="022E49BD"/>
    <w:lvl w:ilvl="0" w:tentative="0">
      <w:start w:val="1"/>
      <w:numFmt w:val="chineseCountingThousand"/>
      <w:lvlText w:val="%1、"/>
      <w:lvlJc w:val="left"/>
      <w:pPr>
        <w:ind w:left="704" w:hanging="420"/>
      </w:pPr>
      <w:rPr>
        <w:rFonts w:hint="eastAsia"/>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27E42BF"/>
    <w:multiLevelType w:val="multilevel"/>
    <w:tmpl w:val="027E42BF"/>
    <w:lvl w:ilvl="0" w:tentative="0">
      <w:start w:val="1"/>
      <w:numFmt w:val="chineseCountingThousand"/>
      <w:lvlText w:val="%1、"/>
      <w:lvlJc w:val="left"/>
      <w:pPr>
        <w:ind w:left="8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05536B4C"/>
    <w:multiLevelType w:val="multilevel"/>
    <w:tmpl w:val="05536B4C"/>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1">
    <w:nsid w:val="0B8E7850"/>
    <w:multiLevelType w:val="multilevel"/>
    <w:tmpl w:val="0B8E7850"/>
    <w:lvl w:ilvl="0" w:tentative="0">
      <w:start w:val="1"/>
      <w:numFmt w:val="chineseCountingThousand"/>
      <w:lvlText w:val="%1、"/>
      <w:lvlJc w:val="left"/>
      <w:pPr>
        <w:ind w:left="704" w:hanging="420"/>
      </w:pPr>
    </w:lvl>
    <w:lvl w:ilvl="1" w:tentative="0">
      <w:start w:val="1"/>
      <w:numFmt w:val="lowerLetter"/>
      <w:lvlText w:val="%2)"/>
      <w:lvlJc w:val="left"/>
      <w:pPr>
        <w:ind w:left="1260" w:hanging="420"/>
      </w:pPr>
    </w:lvl>
    <w:lvl w:ilvl="2" w:tentative="0">
      <w:start w:val="0"/>
      <w:numFmt w:val="bullet"/>
      <w:lvlText w:val=""/>
      <w:lvlJc w:val="left"/>
      <w:pPr>
        <w:ind w:left="1620" w:hanging="360"/>
      </w:pPr>
      <w:rPr>
        <w:rFonts w:hint="default" w:ascii="Times New Roman" w:hAnsi="Times New Roman" w:eastAsia="宋体" w:cs="Times New Roman"/>
        <w:sz w:val="23"/>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28C38EC"/>
    <w:multiLevelType w:val="multilevel"/>
    <w:tmpl w:val="128C38EC"/>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163702C4"/>
    <w:multiLevelType w:val="multilevel"/>
    <w:tmpl w:val="163702C4"/>
    <w:lvl w:ilvl="0" w:tentative="0">
      <w:start w:val="4"/>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17B1274A"/>
    <w:multiLevelType w:val="multilevel"/>
    <w:tmpl w:val="17B1274A"/>
    <w:lvl w:ilvl="0" w:tentative="0">
      <w:start w:val="1"/>
      <w:numFmt w:val="decimal"/>
      <w:lvlText w:val="%1."/>
      <w:lvlJc w:val="left"/>
      <w:pPr>
        <w:ind w:left="425" w:hanging="425"/>
      </w:pPr>
      <w:rPr>
        <w:rFonts w:hint="eastAsia"/>
      </w:rPr>
    </w:lvl>
    <w:lvl w:ilvl="1" w:tentative="0">
      <w:start w:val="1"/>
      <w:numFmt w:val="decimal"/>
      <w:lvlText w:val="%1.%2."/>
      <w:lvlJc w:val="left"/>
      <w:pPr>
        <w:ind w:left="993" w:hanging="567"/>
      </w:pPr>
      <w:rPr>
        <w:rFonts w:hint="eastAsia"/>
        <w:b w:val="0"/>
        <w:sz w:val="21"/>
        <w:szCs w:val="21"/>
      </w:rPr>
    </w:lvl>
    <w:lvl w:ilvl="2" w:tentative="0">
      <w:start w:val="1"/>
      <w:numFmt w:val="decimal"/>
      <w:lvlText w:val="%1.%2.%3."/>
      <w:lvlJc w:val="left"/>
      <w:pPr>
        <w:ind w:left="709" w:hanging="709"/>
      </w:pPr>
      <w:rPr>
        <w:rFonts w:hint="eastAsia" w:ascii="宋体" w:hAnsi="宋体" w:eastAsia="宋体"/>
        <w:b w:val="0"/>
        <w:sz w:val="21"/>
        <w:szCs w:val="21"/>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5">
    <w:nsid w:val="18620DFC"/>
    <w:multiLevelType w:val="multilevel"/>
    <w:tmpl w:val="18620DFC"/>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6">
    <w:nsid w:val="18A05EC3"/>
    <w:multiLevelType w:val="multilevel"/>
    <w:tmpl w:val="18A05EC3"/>
    <w:lvl w:ilvl="0" w:tentative="0">
      <w:start w:val="1"/>
      <w:numFmt w:val="bullet"/>
      <w:lvlText w:val=""/>
      <w:lvlJc w:val="left"/>
      <w:pPr>
        <w:tabs>
          <w:tab w:val="left" w:pos="0"/>
        </w:tabs>
        <w:ind w:left="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194932C9"/>
    <w:multiLevelType w:val="multilevel"/>
    <w:tmpl w:val="194932C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8">
    <w:nsid w:val="1B00798B"/>
    <w:multiLevelType w:val="multilevel"/>
    <w:tmpl w:val="1B00798B"/>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9">
    <w:nsid w:val="1E414F76"/>
    <w:multiLevelType w:val="multilevel"/>
    <w:tmpl w:val="1E414F76"/>
    <w:lvl w:ilvl="0" w:tentative="0">
      <w:start w:val="1"/>
      <w:numFmt w:val="decimal"/>
      <w:lvlText w:val="%1"/>
      <w:lvlJc w:val="left"/>
      <w:pPr>
        <w:ind w:left="425" w:hanging="425"/>
      </w:pPr>
      <w:rPr>
        <w:b/>
      </w:rPr>
    </w:lvl>
    <w:lvl w:ilvl="1" w:tentative="0">
      <w:start w:val="1"/>
      <w:numFmt w:val="decimal"/>
      <w:lvlText w:val="%1.%2"/>
      <w:lvlJc w:val="left"/>
      <w:pPr>
        <w:ind w:left="992" w:hanging="567"/>
      </w:pPr>
      <w:rPr>
        <w:rFonts w:ascii="宋体" w:hAnsi="宋体" w:eastAsia="宋体"/>
        <w:b w:val="0"/>
        <w:sz w:val="21"/>
        <w:szCs w:val="21"/>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0">
    <w:nsid w:val="30876D6F"/>
    <w:multiLevelType w:val="multilevel"/>
    <w:tmpl w:val="30876D6F"/>
    <w:lvl w:ilvl="0" w:tentative="0">
      <w:start w:val="1"/>
      <w:numFmt w:val="decimal"/>
      <w:lvlText w:val="%1."/>
      <w:lvlJc w:val="left"/>
      <w:pPr>
        <w:tabs>
          <w:tab w:val="left" w:pos="920"/>
        </w:tabs>
        <w:ind w:left="920" w:hanging="36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1">
    <w:nsid w:val="472A4CF3"/>
    <w:multiLevelType w:val="multilevel"/>
    <w:tmpl w:val="472A4CF3"/>
    <w:lvl w:ilvl="0" w:tentative="0">
      <w:start w:val="1"/>
      <w:numFmt w:val="decimal"/>
      <w:lvlText w:val="%1."/>
      <w:lvlJc w:val="left"/>
      <w:pPr>
        <w:ind w:left="425" w:hanging="425"/>
      </w:pPr>
      <w:rPr>
        <w:rFonts w:hint="eastAsia"/>
      </w:rPr>
    </w:lvl>
    <w:lvl w:ilvl="1" w:tentative="0">
      <w:start w:val="1"/>
      <w:numFmt w:val="decimal"/>
      <w:lvlText w:val="%1.%2."/>
      <w:lvlJc w:val="left"/>
      <w:pPr>
        <w:ind w:left="993" w:hanging="567"/>
      </w:pPr>
      <w:rPr>
        <w:rFonts w:hint="eastAsia"/>
        <w:b w:val="0"/>
        <w:sz w:val="21"/>
        <w:szCs w:val="21"/>
      </w:rPr>
    </w:lvl>
    <w:lvl w:ilvl="2" w:tentative="0">
      <w:start w:val="1"/>
      <w:numFmt w:val="decimal"/>
      <w:lvlText w:val="%1.%2.%3."/>
      <w:lvlJc w:val="left"/>
      <w:pPr>
        <w:ind w:left="709" w:hanging="709"/>
      </w:pPr>
      <w:rPr>
        <w:rFonts w:hint="eastAsia" w:ascii="宋体" w:hAnsi="宋体" w:eastAsia="宋体"/>
        <w:b w:val="0"/>
        <w:sz w:val="21"/>
        <w:szCs w:val="21"/>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2">
    <w:nsid w:val="487E531B"/>
    <w:multiLevelType w:val="multilevel"/>
    <w:tmpl w:val="487E531B"/>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3">
    <w:nsid w:val="489E1335"/>
    <w:multiLevelType w:val="multilevel"/>
    <w:tmpl w:val="489E1335"/>
    <w:lvl w:ilvl="0" w:tentative="0">
      <w:start w:val="1"/>
      <w:numFmt w:val="chineseCountingThousand"/>
      <w:lvlText w:val="%1、"/>
      <w:lvlJc w:val="left"/>
      <w:pPr>
        <w:ind w:left="704" w:hanging="420"/>
      </w:pPr>
    </w:lvl>
    <w:lvl w:ilvl="1" w:tentative="0">
      <w:start w:val="1"/>
      <w:numFmt w:val="lowerLetter"/>
      <w:lvlText w:val="%2)"/>
      <w:lvlJc w:val="left"/>
      <w:pPr>
        <w:ind w:left="1260" w:hanging="420"/>
      </w:pPr>
    </w:lvl>
    <w:lvl w:ilvl="2" w:tentative="0">
      <w:start w:val="0"/>
      <w:numFmt w:val="bullet"/>
      <w:lvlText w:val=""/>
      <w:lvlJc w:val="left"/>
      <w:pPr>
        <w:ind w:left="1620" w:hanging="360"/>
      </w:pPr>
      <w:rPr>
        <w:rFonts w:hint="default" w:ascii="Times New Roman" w:hAnsi="Times New Roman" w:eastAsia="宋体" w:cs="Times New Roman"/>
        <w:sz w:val="23"/>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48FD518E"/>
    <w:multiLevelType w:val="multilevel"/>
    <w:tmpl w:val="48FD518E"/>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5">
    <w:nsid w:val="4DBB4181"/>
    <w:multiLevelType w:val="multilevel"/>
    <w:tmpl w:val="4DBB4181"/>
    <w:lvl w:ilvl="0" w:tentative="0">
      <w:start w:val="1"/>
      <w:numFmt w:val="decimal"/>
      <w:lvlText w:val="%1)"/>
      <w:lvlJc w:val="left"/>
      <w:pPr>
        <w:ind w:left="720" w:hanging="720"/>
      </w:pPr>
      <w:rPr>
        <w:rFonts w:hint="default"/>
      </w:rPr>
    </w:lvl>
    <w:lvl w:ilvl="1" w:tentative="0">
      <w:start w:val="1"/>
      <w:numFmt w:val="decimal"/>
      <w:lvlText w:val="%1.%2"/>
      <w:lvlJc w:val="left"/>
      <w:pPr>
        <w:ind w:left="992" w:hanging="567"/>
      </w:pPr>
    </w:lvl>
    <w:lvl w:ilvl="2" w:tentative="0">
      <w:start w:val="1"/>
      <w:numFmt w:val="decimal"/>
      <w:lvlText w:val="（%3）"/>
      <w:lvlJc w:val="left"/>
      <w:pPr>
        <w:ind w:left="3273" w:hanging="720"/>
      </w:pPr>
      <w:rPr>
        <w:rFonts w:hint="default"/>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6">
    <w:nsid w:val="57063EE5"/>
    <w:multiLevelType w:val="multilevel"/>
    <w:tmpl w:val="57063EE5"/>
    <w:lvl w:ilvl="0" w:tentative="0">
      <w:start w:val="1"/>
      <w:numFmt w:val="decimal"/>
      <w:lvlText w:val="%1"/>
      <w:lvlJc w:val="left"/>
      <w:pPr>
        <w:ind w:left="425" w:hanging="425"/>
      </w:pPr>
      <w:rPr>
        <w:rFonts w:hint="eastAsia"/>
        <w:b/>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7">
    <w:nsid w:val="578E3A24"/>
    <w:multiLevelType w:val="multilevel"/>
    <w:tmpl w:val="578E3A24"/>
    <w:lvl w:ilvl="0" w:tentative="0">
      <w:start w:val="1"/>
      <w:numFmt w:val="decimal"/>
      <w:lvlText w:val="%1."/>
      <w:lvlJc w:val="left"/>
      <w:pPr>
        <w:ind w:left="425" w:hanging="425"/>
      </w:pPr>
      <w:rPr>
        <w:rFonts w:hint="default"/>
        <w:b/>
        <w:bC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8">
    <w:nsid w:val="57F7578B"/>
    <w:multiLevelType w:val="multilevel"/>
    <w:tmpl w:val="57F7578B"/>
    <w:lvl w:ilvl="0" w:tentative="0">
      <w:start w:val="1"/>
      <w:numFmt w:val="decimal"/>
      <w:lvlText w:val="%1."/>
      <w:lvlJc w:val="left"/>
      <w:pPr>
        <w:ind w:left="425" w:hanging="425"/>
      </w:pPr>
      <w:rPr>
        <w:rFonts w:hint="default"/>
        <w:b/>
        <w:bCs/>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9">
    <w:nsid w:val="5DB1213A"/>
    <w:multiLevelType w:val="multilevel"/>
    <w:tmpl w:val="5DB1213A"/>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0">
    <w:nsid w:val="5FAE68E2"/>
    <w:multiLevelType w:val="multilevel"/>
    <w:tmpl w:val="5FAE68E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5FDE0FD1"/>
    <w:multiLevelType w:val="multilevel"/>
    <w:tmpl w:val="5FDE0FD1"/>
    <w:lvl w:ilvl="0" w:tentative="0">
      <w:start w:val="1"/>
      <w:numFmt w:val="decimal"/>
      <w:lvlText w:val="%1"/>
      <w:lvlJc w:val="left"/>
      <w:pPr>
        <w:ind w:left="425" w:hanging="425"/>
      </w:pPr>
    </w:lvl>
    <w:lvl w:ilvl="1" w:tentative="0">
      <w:start w:val="1"/>
      <w:numFmt w:val="decimal"/>
      <w:lvlText w:val="%1.%2"/>
      <w:lvlJc w:val="left"/>
      <w:pPr>
        <w:ind w:left="992" w:hanging="567"/>
      </w:pPr>
      <w:rPr>
        <w:color w:val="auto"/>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2">
    <w:nsid w:val="64753164"/>
    <w:multiLevelType w:val="multilevel"/>
    <w:tmpl w:val="64753164"/>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6700487E"/>
    <w:multiLevelType w:val="multilevel"/>
    <w:tmpl w:val="6700487E"/>
    <w:lvl w:ilvl="0" w:tentative="0">
      <w:start w:val="1"/>
      <w:numFmt w:val="decimal"/>
      <w:lvlText w:val="%1"/>
      <w:lvlJc w:val="left"/>
      <w:pPr>
        <w:ind w:left="425" w:hanging="425"/>
      </w:pPr>
      <w:rPr>
        <w:b/>
      </w:rPr>
    </w:lvl>
    <w:lvl w:ilvl="1" w:tentative="0">
      <w:start w:val="1"/>
      <w:numFmt w:val="decimal"/>
      <w:lvlText w:val="%1.%2"/>
      <w:lvlJc w:val="left"/>
      <w:pPr>
        <w:ind w:left="992" w:hanging="567"/>
      </w:pPr>
      <w:rPr>
        <w:rFonts w:ascii="宋体" w:hAnsi="宋体" w:eastAsia="宋体"/>
        <w:b w:val="0"/>
        <w:sz w:val="21"/>
        <w:szCs w:val="21"/>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4">
    <w:nsid w:val="67115555"/>
    <w:multiLevelType w:val="multilevel"/>
    <w:tmpl w:val="67115555"/>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5">
    <w:nsid w:val="6E644AED"/>
    <w:multiLevelType w:val="multilevel"/>
    <w:tmpl w:val="6E644AED"/>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6">
    <w:nsid w:val="71B7469C"/>
    <w:multiLevelType w:val="multilevel"/>
    <w:tmpl w:val="71B7469C"/>
    <w:lvl w:ilvl="0" w:tentative="0">
      <w:start w:val="1"/>
      <w:numFmt w:val="decimal"/>
      <w:lvlText w:val="（%1）"/>
      <w:lvlJc w:val="left"/>
      <w:pPr>
        <w:ind w:left="1145" w:hanging="72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7">
    <w:nsid w:val="773C7E68"/>
    <w:multiLevelType w:val="multilevel"/>
    <w:tmpl w:val="773C7E68"/>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5"/>
  </w:num>
  <w:num w:numId="2">
    <w:abstractNumId w:val="9"/>
  </w:num>
  <w:num w:numId="3">
    <w:abstractNumId w:val="4"/>
  </w:num>
  <w:num w:numId="4">
    <w:abstractNumId w:val="32"/>
  </w:num>
  <w:num w:numId="5">
    <w:abstractNumId w:val="30"/>
  </w:num>
  <w:num w:numId="6">
    <w:abstractNumId w:val="6"/>
  </w:num>
  <w:num w:numId="7">
    <w:abstractNumId w:val="1"/>
  </w:num>
  <w:num w:numId="8">
    <w:abstractNumId w:val="8"/>
  </w:num>
  <w:num w:numId="9">
    <w:abstractNumId w:val="27"/>
  </w:num>
  <w:num w:numId="10">
    <w:abstractNumId w:val="22"/>
  </w:num>
  <w:num w:numId="11">
    <w:abstractNumId w:val="16"/>
  </w:num>
  <w:num w:numId="12">
    <w:abstractNumId w:val="34"/>
  </w:num>
  <w:num w:numId="13">
    <w:abstractNumId w:val="29"/>
  </w:num>
  <w:num w:numId="14">
    <w:abstractNumId w:val="33"/>
  </w:num>
  <w:num w:numId="15">
    <w:abstractNumId w:val="25"/>
  </w:num>
  <w:num w:numId="16">
    <w:abstractNumId w:val="35"/>
  </w:num>
  <w:num w:numId="17">
    <w:abstractNumId w:val="19"/>
  </w:num>
  <w:num w:numId="18">
    <w:abstractNumId w:val="24"/>
  </w:num>
  <w:num w:numId="19">
    <w:abstractNumId w:val="26"/>
  </w:num>
  <w:num w:numId="20">
    <w:abstractNumId w:val="31"/>
  </w:num>
  <w:num w:numId="21">
    <w:abstractNumId w:val="10"/>
  </w:num>
  <w:num w:numId="22">
    <w:abstractNumId w:val="37"/>
  </w:num>
  <w:num w:numId="23">
    <w:abstractNumId w:val="17"/>
  </w:num>
  <w:num w:numId="24">
    <w:abstractNumId w:val="36"/>
  </w:num>
  <w:num w:numId="25">
    <w:abstractNumId w:val="18"/>
  </w:num>
  <w:num w:numId="26">
    <w:abstractNumId w:val="28"/>
  </w:num>
  <w:num w:numId="27">
    <w:abstractNumId w:val="15"/>
  </w:num>
  <w:num w:numId="28">
    <w:abstractNumId w:val="12"/>
  </w:num>
  <w:num w:numId="29">
    <w:abstractNumId w:val="13"/>
  </w:num>
  <w:num w:numId="30">
    <w:abstractNumId w:val="23"/>
  </w:num>
  <w:num w:numId="31">
    <w:abstractNumId w:val="14"/>
  </w:num>
  <w:num w:numId="32">
    <w:abstractNumId w:val="2"/>
  </w:num>
  <w:num w:numId="33">
    <w:abstractNumId w:val="21"/>
  </w:num>
  <w:num w:numId="34">
    <w:abstractNumId w:val="7"/>
  </w:num>
  <w:num w:numId="35">
    <w:abstractNumId w:val="3"/>
  </w:num>
  <w:num w:numId="36">
    <w:abstractNumId w:val="11"/>
  </w:num>
  <w:num w:numId="37">
    <w:abstractNumId w:val="2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F2"/>
    <w:rsid w:val="00001612"/>
    <w:rsid w:val="00004DFC"/>
    <w:rsid w:val="00005C1A"/>
    <w:rsid w:val="0000765F"/>
    <w:rsid w:val="000133A7"/>
    <w:rsid w:val="00014FA9"/>
    <w:rsid w:val="000158DA"/>
    <w:rsid w:val="000162A0"/>
    <w:rsid w:val="00016798"/>
    <w:rsid w:val="00016809"/>
    <w:rsid w:val="00017858"/>
    <w:rsid w:val="00017DE8"/>
    <w:rsid w:val="00020B1F"/>
    <w:rsid w:val="00021CD7"/>
    <w:rsid w:val="0002575E"/>
    <w:rsid w:val="0002660B"/>
    <w:rsid w:val="00027422"/>
    <w:rsid w:val="00027E1C"/>
    <w:rsid w:val="000335CD"/>
    <w:rsid w:val="00035162"/>
    <w:rsid w:val="00036D64"/>
    <w:rsid w:val="000371B0"/>
    <w:rsid w:val="0003752C"/>
    <w:rsid w:val="00037E79"/>
    <w:rsid w:val="0004462D"/>
    <w:rsid w:val="0004540B"/>
    <w:rsid w:val="00050B5B"/>
    <w:rsid w:val="00052005"/>
    <w:rsid w:val="00053960"/>
    <w:rsid w:val="000548AE"/>
    <w:rsid w:val="00054EC9"/>
    <w:rsid w:val="00056FF3"/>
    <w:rsid w:val="000632B0"/>
    <w:rsid w:val="0006378D"/>
    <w:rsid w:val="000654BE"/>
    <w:rsid w:val="000659C8"/>
    <w:rsid w:val="00071F0D"/>
    <w:rsid w:val="0007246D"/>
    <w:rsid w:val="00072B5C"/>
    <w:rsid w:val="0007314E"/>
    <w:rsid w:val="000732D9"/>
    <w:rsid w:val="00073866"/>
    <w:rsid w:val="00073FAD"/>
    <w:rsid w:val="000769AF"/>
    <w:rsid w:val="0007733F"/>
    <w:rsid w:val="000810A4"/>
    <w:rsid w:val="0008303D"/>
    <w:rsid w:val="00083103"/>
    <w:rsid w:val="00083E17"/>
    <w:rsid w:val="00084E36"/>
    <w:rsid w:val="0008673F"/>
    <w:rsid w:val="00090D36"/>
    <w:rsid w:val="000912D2"/>
    <w:rsid w:val="000937EF"/>
    <w:rsid w:val="00094898"/>
    <w:rsid w:val="00095C33"/>
    <w:rsid w:val="00095F68"/>
    <w:rsid w:val="000A0AAB"/>
    <w:rsid w:val="000A2015"/>
    <w:rsid w:val="000A6608"/>
    <w:rsid w:val="000A7728"/>
    <w:rsid w:val="000A7953"/>
    <w:rsid w:val="000B0767"/>
    <w:rsid w:val="000B1443"/>
    <w:rsid w:val="000B3783"/>
    <w:rsid w:val="000B4FEE"/>
    <w:rsid w:val="000B510C"/>
    <w:rsid w:val="000B5D5C"/>
    <w:rsid w:val="000B67CF"/>
    <w:rsid w:val="000C0437"/>
    <w:rsid w:val="000C14D8"/>
    <w:rsid w:val="000C1AFA"/>
    <w:rsid w:val="000C3474"/>
    <w:rsid w:val="000C3550"/>
    <w:rsid w:val="000C433C"/>
    <w:rsid w:val="000C5217"/>
    <w:rsid w:val="000C71D7"/>
    <w:rsid w:val="000D1322"/>
    <w:rsid w:val="000D13EB"/>
    <w:rsid w:val="000D35DC"/>
    <w:rsid w:val="000D4E24"/>
    <w:rsid w:val="000D71B8"/>
    <w:rsid w:val="000E0218"/>
    <w:rsid w:val="000E1911"/>
    <w:rsid w:val="000E1D1A"/>
    <w:rsid w:val="000E2B12"/>
    <w:rsid w:val="000E4A8D"/>
    <w:rsid w:val="000E7B20"/>
    <w:rsid w:val="000E7B78"/>
    <w:rsid w:val="000F0431"/>
    <w:rsid w:val="000F1187"/>
    <w:rsid w:val="000F1C17"/>
    <w:rsid w:val="000F1C19"/>
    <w:rsid w:val="000F232A"/>
    <w:rsid w:val="000F276B"/>
    <w:rsid w:val="000F4C78"/>
    <w:rsid w:val="000F5672"/>
    <w:rsid w:val="000F5DE1"/>
    <w:rsid w:val="000F5F8A"/>
    <w:rsid w:val="000F6077"/>
    <w:rsid w:val="000F768D"/>
    <w:rsid w:val="001017B5"/>
    <w:rsid w:val="0010238B"/>
    <w:rsid w:val="00104927"/>
    <w:rsid w:val="00105FA0"/>
    <w:rsid w:val="00107565"/>
    <w:rsid w:val="001076C2"/>
    <w:rsid w:val="00110396"/>
    <w:rsid w:val="00110842"/>
    <w:rsid w:val="00111305"/>
    <w:rsid w:val="00111A63"/>
    <w:rsid w:val="00112E7F"/>
    <w:rsid w:val="00114358"/>
    <w:rsid w:val="001151E7"/>
    <w:rsid w:val="00117D0A"/>
    <w:rsid w:val="00120FC5"/>
    <w:rsid w:val="00124AA7"/>
    <w:rsid w:val="00124DE0"/>
    <w:rsid w:val="0012502E"/>
    <w:rsid w:val="00125DD0"/>
    <w:rsid w:val="001262EE"/>
    <w:rsid w:val="001276AA"/>
    <w:rsid w:val="00127E07"/>
    <w:rsid w:val="00130932"/>
    <w:rsid w:val="00133CD5"/>
    <w:rsid w:val="001353B9"/>
    <w:rsid w:val="001354D2"/>
    <w:rsid w:val="00135538"/>
    <w:rsid w:val="00135F96"/>
    <w:rsid w:val="00136242"/>
    <w:rsid w:val="001375AA"/>
    <w:rsid w:val="00137E67"/>
    <w:rsid w:val="0014008A"/>
    <w:rsid w:val="00143CF1"/>
    <w:rsid w:val="0014562D"/>
    <w:rsid w:val="001462B3"/>
    <w:rsid w:val="0014681D"/>
    <w:rsid w:val="00151026"/>
    <w:rsid w:val="00152C30"/>
    <w:rsid w:val="001550D0"/>
    <w:rsid w:val="00155F40"/>
    <w:rsid w:val="00160F70"/>
    <w:rsid w:val="00160F96"/>
    <w:rsid w:val="00160FA9"/>
    <w:rsid w:val="00162F8E"/>
    <w:rsid w:val="0016390D"/>
    <w:rsid w:val="001639E5"/>
    <w:rsid w:val="00166042"/>
    <w:rsid w:val="0016634F"/>
    <w:rsid w:val="001668D0"/>
    <w:rsid w:val="00167008"/>
    <w:rsid w:val="001678C9"/>
    <w:rsid w:val="00167DDF"/>
    <w:rsid w:val="001722C0"/>
    <w:rsid w:val="001745A8"/>
    <w:rsid w:val="0017464A"/>
    <w:rsid w:val="00174AF7"/>
    <w:rsid w:val="00176ECE"/>
    <w:rsid w:val="0017780D"/>
    <w:rsid w:val="001804A2"/>
    <w:rsid w:val="00180527"/>
    <w:rsid w:val="001809B0"/>
    <w:rsid w:val="00180B7B"/>
    <w:rsid w:val="00186E2A"/>
    <w:rsid w:val="00187665"/>
    <w:rsid w:val="00190AF5"/>
    <w:rsid w:val="001910AB"/>
    <w:rsid w:val="00191158"/>
    <w:rsid w:val="00192BA5"/>
    <w:rsid w:val="00192F3E"/>
    <w:rsid w:val="00193360"/>
    <w:rsid w:val="00195705"/>
    <w:rsid w:val="0019691F"/>
    <w:rsid w:val="0019781B"/>
    <w:rsid w:val="00197BAF"/>
    <w:rsid w:val="001A00DB"/>
    <w:rsid w:val="001A1281"/>
    <w:rsid w:val="001A183F"/>
    <w:rsid w:val="001A4029"/>
    <w:rsid w:val="001A4843"/>
    <w:rsid w:val="001A704E"/>
    <w:rsid w:val="001B017C"/>
    <w:rsid w:val="001B0BD1"/>
    <w:rsid w:val="001B0E03"/>
    <w:rsid w:val="001B12E0"/>
    <w:rsid w:val="001B3C33"/>
    <w:rsid w:val="001B468B"/>
    <w:rsid w:val="001B5615"/>
    <w:rsid w:val="001C1253"/>
    <w:rsid w:val="001C17E8"/>
    <w:rsid w:val="001C18A3"/>
    <w:rsid w:val="001C426F"/>
    <w:rsid w:val="001C55DA"/>
    <w:rsid w:val="001C57DE"/>
    <w:rsid w:val="001C5C31"/>
    <w:rsid w:val="001C733F"/>
    <w:rsid w:val="001D181F"/>
    <w:rsid w:val="001D2821"/>
    <w:rsid w:val="001D3D06"/>
    <w:rsid w:val="001D484D"/>
    <w:rsid w:val="001D5903"/>
    <w:rsid w:val="001D5FB6"/>
    <w:rsid w:val="001D681B"/>
    <w:rsid w:val="001D78AD"/>
    <w:rsid w:val="001E0ADE"/>
    <w:rsid w:val="001E10E3"/>
    <w:rsid w:val="001E2BB2"/>
    <w:rsid w:val="001E3562"/>
    <w:rsid w:val="001E41A1"/>
    <w:rsid w:val="001E4825"/>
    <w:rsid w:val="001E61A4"/>
    <w:rsid w:val="001E6F15"/>
    <w:rsid w:val="001F3D13"/>
    <w:rsid w:val="001F4843"/>
    <w:rsid w:val="001F61A0"/>
    <w:rsid w:val="0020447E"/>
    <w:rsid w:val="00204601"/>
    <w:rsid w:val="00204C11"/>
    <w:rsid w:val="002052F3"/>
    <w:rsid w:val="00206027"/>
    <w:rsid w:val="00207046"/>
    <w:rsid w:val="0020755C"/>
    <w:rsid w:val="00207C5D"/>
    <w:rsid w:val="00207CCF"/>
    <w:rsid w:val="00207DF4"/>
    <w:rsid w:val="00211606"/>
    <w:rsid w:val="002116E8"/>
    <w:rsid w:val="00213089"/>
    <w:rsid w:val="002140D4"/>
    <w:rsid w:val="00214397"/>
    <w:rsid w:val="00214BCC"/>
    <w:rsid w:val="0021727A"/>
    <w:rsid w:val="00221492"/>
    <w:rsid w:val="002214D1"/>
    <w:rsid w:val="00223671"/>
    <w:rsid w:val="0022383C"/>
    <w:rsid w:val="00224685"/>
    <w:rsid w:val="00224777"/>
    <w:rsid w:val="002252CF"/>
    <w:rsid w:val="00227AEC"/>
    <w:rsid w:val="00230AA6"/>
    <w:rsid w:val="002312D1"/>
    <w:rsid w:val="0023315B"/>
    <w:rsid w:val="002331C1"/>
    <w:rsid w:val="00235502"/>
    <w:rsid w:val="00236432"/>
    <w:rsid w:val="00237690"/>
    <w:rsid w:val="00237FCE"/>
    <w:rsid w:val="00240E21"/>
    <w:rsid w:val="00241D7C"/>
    <w:rsid w:val="002460DB"/>
    <w:rsid w:val="00246A25"/>
    <w:rsid w:val="00246BE2"/>
    <w:rsid w:val="00247698"/>
    <w:rsid w:val="0024776C"/>
    <w:rsid w:val="002506D3"/>
    <w:rsid w:val="002520F2"/>
    <w:rsid w:val="00252CAA"/>
    <w:rsid w:val="00252D15"/>
    <w:rsid w:val="0025352A"/>
    <w:rsid w:val="00253E57"/>
    <w:rsid w:val="00254228"/>
    <w:rsid w:val="002557C7"/>
    <w:rsid w:val="0025616E"/>
    <w:rsid w:val="00256F79"/>
    <w:rsid w:val="00262554"/>
    <w:rsid w:val="00262BDA"/>
    <w:rsid w:val="00263C89"/>
    <w:rsid w:val="00264937"/>
    <w:rsid w:val="00264F9F"/>
    <w:rsid w:val="0026571D"/>
    <w:rsid w:val="00265D2C"/>
    <w:rsid w:val="00266347"/>
    <w:rsid w:val="002665EF"/>
    <w:rsid w:val="00267A34"/>
    <w:rsid w:val="0027167E"/>
    <w:rsid w:val="0027377A"/>
    <w:rsid w:val="00274173"/>
    <w:rsid w:val="0027650E"/>
    <w:rsid w:val="002803E5"/>
    <w:rsid w:val="002817FC"/>
    <w:rsid w:val="00284F7D"/>
    <w:rsid w:val="00285E97"/>
    <w:rsid w:val="00287BD5"/>
    <w:rsid w:val="00287C00"/>
    <w:rsid w:val="00290C04"/>
    <w:rsid w:val="0029270D"/>
    <w:rsid w:val="00293B3E"/>
    <w:rsid w:val="00295F4C"/>
    <w:rsid w:val="00296326"/>
    <w:rsid w:val="0029667D"/>
    <w:rsid w:val="0029674F"/>
    <w:rsid w:val="0029747B"/>
    <w:rsid w:val="00297750"/>
    <w:rsid w:val="002A1473"/>
    <w:rsid w:val="002A2F67"/>
    <w:rsid w:val="002A3AA5"/>
    <w:rsid w:val="002A3F6A"/>
    <w:rsid w:val="002A4036"/>
    <w:rsid w:val="002A40C6"/>
    <w:rsid w:val="002A46AA"/>
    <w:rsid w:val="002A4D43"/>
    <w:rsid w:val="002A6136"/>
    <w:rsid w:val="002A63EC"/>
    <w:rsid w:val="002A64F0"/>
    <w:rsid w:val="002B12A1"/>
    <w:rsid w:val="002B138D"/>
    <w:rsid w:val="002B3BF4"/>
    <w:rsid w:val="002B4EF1"/>
    <w:rsid w:val="002C2005"/>
    <w:rsid w:val="002C27B7"/>
    <w:rsid w:val="002C2973"/>
    <w:rsid w:val="002C2FE2"/>
    <w:rsid w:val="002C3E6C"/>
    <w:rsid w:val="002C6B50"/>
    <w:rsid w:val="002D14F9"/>
    <w:rsid w:val="002D2514"/>
    <w:rsid w:val="002D251E"/>
    <w:rsid w:val="002D2C43"/>
    <w:rsid w:val="002D368D"/>
    <w:rsid w:val="002D406A"/>
    <w:rsid w:val="002D4E7F"/>
    <w:rsid w:val="002D524C"/>
    <w:rsid w:val="002D679F"/>
    <w:rsid w:val="002D6EC0"/>
    <w:rsid w:val="002D7422"/>
    <w:rsid w:val="002E1179"/>
    <w:rsid w:val="002E1C50"/>
    <w:rsid w:val="002E3875"/>
    <w:rsid w:val="002E38D0"/>
    <w:rsid w:val="002E46D4"/>
    <w:rsid w:val="002E4ADD"/>
    <w:rsid w:val="002E547D"/>
    <w:rsid w:val="002E5717"/>
    <w:rsid w:val="002E70BD"/>
    <w:rsid w:val="002E759A"/>
    <w:rsid w:val="002E75DA"/>
    <w:rsid w:val="002F1A17"/>
    <w:rsid w:val="002F28F4"/>
    <w:rsid w:val="002F4FAA"/>
    <w:rsid w:val="002F5AFD"/>
    <w:rsid w:val="002F779E"/>
    <w:rsid w:val="00300083"/>
    <w:rsid w:val="003000E5"/>
    <w:rsid w:val="00301455"/>
    <w:rsid w:val="003019DA"/>
    <w:rsid w:val="003054E2"/>
    <w:rsid w:val="003055EE"/>
    <w:rsid w:val="00306B42"/>
    <w:rsid w:val="00306D5B"/>
    <w:rsid w:val="00310597"/>
    <w:rsid w:val="00310CB6"/>
    <w:rsid w:val="003110F7"/>
    <w:rsid w:val="00311613"/>
    <w:rsid w:val="00317416"/>
    <w:rsid w:val="003201F0"/>
    <w:rsid w:val="00322C92"/>
    <w:rsid w:val="00323798"/>
    <w:rsid w:val="00323ADB"/>
    <w:rsid w:val="00323E21"/>
    <w:rsid w:val="00324219"/>
    <w:rsid w:val="0032785B"/>
    <w:rsid w:val="00330689"/>
    <w:rsid w:val="00331B30"/>
    <w:rsid w:val="003320FC"/>
    <w:rsid w:val="003330CC"/>
    <w:rsid w:val="00333863"/>
    <w:rsid w:val="00334365"/>
    <w:rsid w:val="0033453E"/>
    <w:rsid w:val="003349AE"/>
    <w:rsid w:val="00334FE9"/>
    <w:rsid w:val="0033571A"/>
    <w:rsid w:val="00335830"/>
    <w:rsid w:val="003414AB"/>
    <w:rsid w:val="00342392"/>
    <w:rsid w:val="00343053"/>
    <w:rsid w:val="003436DE"/>
    <w:rsid w:val="003445C3"/>
    <w:rsid w:val="003536B0"/>
    <w:rsid w:val="00353BFB"/>
    <w:rsid w:val="00353CA4"/>
    <w:rsid w:val="0035732E"/>
    <w:rsid w:val="00357A07"/>
    <w:rsid w:val="00361238"/>
    <w:rsid w:val="00361F2A"/>
    <w:rsid w:val="0036293D"/>
    <w:rsid w:val="00362F8B"/>
    <w:rsid w:val="003635BD"/>
    <w:rsid w:val="003641E2"/>
    <w:rsid w:val="003649A3"/>
    <w:rsid w:val="00364C59"/>
    <w:rsid w:val="003677B4"/>
    <w:rsid w:val="003701EF"/>
    <w:rsid w:val="00371462"/>
    <w:rsid w:val="00371B56"/>
    <w:rsid w:val="00371C6A"/>
    <w:rsid w:val="00371D18"/>
    <w:rsid w:val="003742F7"/>
    <w:rsid w:val="00374CED"/>
    <w:rsid w:val="0037629F"/>
    <w:rsid w:val="00376742"/>
    <w:rsid w:val="003809A3"/>
    <w:rsid w:val="003819CA"/>
    <w:rsid w:val="00384C9D"/>
    <w:rsid w:val="00385050"/>
    <w:rsid w:val="003866E9"/>
    <w:rsid w:val="00386A7A"/>
    <w:rsid w:val="0038714F"/>
    <w:rsid w:val="003879F3"/>
    <w:rsid w:val="00391983"/>
    <w:rsid w:val="00391E6B"/>
    <w:rsid w:val="00392054"/>
    <w:rsid w:val="00393588"/>
    <w:rsid w:val="003942E6"/>
    <w:rsid w:val="00395827"/>
    <w:rsid w:val="0039583C"/>
    <w:rsid w:val="0039680F"/>
    <w:rsid w:val="003A0E1F"/>
    <w:rsid w:val="003A3192"/>
    <w:rsid w:val="003A4551"/>
    <w:rsid w:val="003A4EF4"/>
    <w:rsid w:val="003A61F7"/>
    <w:rsid w:val="003A74ED"/>
    <w:rsid w:val="003A7901"/>
    <w:rsid w:val="003B0DBF"/>
    <w:rsid w:val="003B296A"/>
    <w:rsid w:val="003B3D9A"/>
    <w:rsid w:val="003B40C7"/>
    <w:rsid w:val="003B473E"/>
    <w:rsid w:val="003B5E88"/>
    <w:rsid w:val="003B643D"/>
    <w:rsid w:val="003B6778"/>
    <w:rsid w:val="003B685B"/>
    <w:rsid w:val="003B6DCA"/>
    <w:rsid w:val="003B6EEB"/>
    <w:rsid w:val="003C0B01"/>
    <w:rsid w:val="003C6533"/>
    <w:rsid w:val="003C664D"/>
    <w:rsid w:val="003C6A33"/>
    <w:rsid w:val="003C7ADE"/>
    <w:rsid w:val="003D07E2"/>
    <w:rsid w:val="003D092F"/>
    <w:rsid w:val="003D27C5"/>
    <w:rsid w:val="003D2DBF"/>
    <w:rsid w:val="003D4B88"/>
    <w:rsid w:val="003D6701"/>
    <w:rsid w:val="003D6B0B"/>
    <w:rsid w:val="003D6CB9"/>
    <w:rsid w:val="003D76C6"/>
    <w:rsid w:val="003D7DE7"/>
    <w:rsid w:val="003E0344"/>
    <w:rsid w:val="003E07E9"/>
    <w:rsid w:val="003E1CF0"/>
    <w:rsid w:val="003E272E"/>
    <w:rsid w:val="003E353E"/>
    <w:rsid w:val="003E4BF4"/>
    <w:rsid w:val="003E6AFA"/>
    <w:rsid w:val="003E794D"/>
    <w:rsid w:val="003F2146"/>
    <w:rsid w:val="003F288A"/>
    <w:rsid w:val="003F2F8C"/>
    <w:rsid w:val="003F3150"/>
    <w:rsid w:val="003F4ED2"/>
    <w:rsid w:val="003F519C"/>
    <w:rsid w:val="003F7678"/>
    <w:rsid w:val="003F790A"/>
    <w:rsid w:val="003F7A2C"/>
    <w:rsid w:val="003F7CAC"/>
    <w:rsid w:val="00400AFC"/>
    <w:rsid w:val="00402920"/>
    <w:rsid w:val="00403A14"/>
    <w:rsid w:val="004041F2"/>
    <w:rsid w:val="00406248"/>
    <w:rsid w:val="004072E6"/>
    <w:rsid w:val="00411B93"/>
    <w:rsid w:val="004120A4"/>
    <w:rsid w:val="00412992"/>
    <w:rsid w:val="00413A6E"/>
    <w:rsid w:val="0041433B"/>
    <w:rsid w:val="0041671A"/>
    <w:rsid w:val="0041788F"/>
    <w:rsid w:val="00417D81"/>
    <w:rsid w:val="0042036F"/>
    <w:rsid w:val="00424099"/>
    <w:rsid w:val="00425EAD"/>
    <w:rsid w:val="004274B8"/>
    <w:rsid w:val="00433020"/>
    <w:rsid w:val="0043396D"/>
    <w:rsid w:val="00433EBD"/>
    <w:rsid w:val="004359F2"/>
    <w:rsid w:val="00441084"/>
    <w:rsid w:val="00442182"/>
    <w:rsid w:val="00442790"/>
    <w:rsid w:val="00442E8C"/>
    <w:rsid w:val="0044406C"/>
    <w:rsid w:val="004448B2"/>
    <w:rsid w:val="00444F2D"/>
    <w:rsid w:val="0044779F"/>
    <w:rsid w:val="00450CA6"/>
    <w:rsid w:val="004528BF"/>
    <w:rsid w:val="00453140"/>
    <w:rsid w:val="0045504F"/>
    <w:rsid w:val="00455EEE"/>
    <w:rsid w:val="00456570"/>
    <w:rsid w:val="00456949"/>
    <w:rsid w:val="00457586"/>
    <w:rsid w:val="004603A0"/>
    <w:rsid w:val="00460D7E"/>
    <w:rsid w:val="004631A1"/>
    <w:rsid w:val="004631B8"/>
    <w:rsid w:val="00463777"/>
    <w:rsid w:val="004637E7"/>
    <w:rsid w:val="00464233"/>
    <w:rsid w:val="00464E92"/>
    <w:rsid w:val="00465CC0"/>
    <w:rsid w:val="004661E3"/>
    <w:rsid w:val="004678AE"/>
    <w:rsid w:val="004703EA"/>
    <w:rsid w:val="00470493"/>
    <w:rsid w:val="004705C0"/>
    <w:rsid w:val="00470E4B"/>
    <w:rsid w:val="00471AF5"/>
    <w:rsid w:val="00473B19"/>
    <w:rsid w:val="00475E9B"/>
    <w:rsid w:val="00476AC8"/>
    <w:rsid w:val="00477194"/>
    <w:rsid w:val="0047728B"/>
    <w:rsid w:val="00480449"/>
    <w:rsid w:val="00480E1F"/>
    <w:rsid w:val="00481920"/>
    <w:rsid w:val="00481CE6"/>
    <w:rsid w:val="00482499"/>
    <w:rsid w:val="00482641"/>
    <w:rsid w:val="00484923"/>
    <w:rsid w:val="00485821"/>
    <w:rsid w:val="0048709C"/>
    <w:rsid w:val="00487329"/>
    <w:rsid w:val="00487469"/>
    <w:rsid w:val="00487DEA"/>
    <w:rsid w:val="00487FAD"/>
    <w:rsid w:val="004900BB"/>
    <w:rsid w:val="00490F1F"/>
    <w:rsid w:val="00491597"/>
    <w:rsid w:val="00491DC1"/>
    <w:rsid w:val="0049322A"/>
    <w:rsid w:val="0049729C"/>
    <w:rsid w:val="004A05D1"/>
    <w:rsid w:val="004A06FE"/>
    <w:rsid w:val="004A08EB"/>
    <w:rsid w:val="004A1B0D"/>
    <w:rsid w:val="004A312D"/>
    <w:rsid w:val="004B0845"/>
    <w:rsid w:val="004B0ACC"/>
    <w:rsid w:val="004B12B4"/>
    <w:rsid w:val="004B5DAC"/>
    <w:rsid w:val="004B7E9D"/>
    <w:rsid w:val="004C0BD6"/>
    <w:rsid w:val="004C209C"/>
    <w:rsid w:val="004C4A31"/>
    <w:rsid w:val="004C5496"/>
    <w:rsid w:val="004C5D11"/>
    <w:rsid w:val="004C600B"/>
    <w:rsid w:val="004C6164"/>
    <w:rsid w:val="004C7B61"/>
    <w:rsid w:val="004D0240"/>
    <w:rsid w:val="004D13D3"/>
    <w:rsid w:val="004D1DBB"/>
    <w:rsid w:val="004D2338"/>
    <w:rsid w:val="004D2AE3"/>
    <w:rsid w:val="004D5F57"/>
    <w:rsid w:val="004D662F"/>
    <w:rsid w:val="004E04F1"/>
    <w:rsid w:val="004E1305"/>
    <w:rsid w:val="004E14A6"/>
    <w:rsid w:val="004E222F"/>
    <w:rsid w:val="004E60D2"/>
    <w:rsid w:val="004E60EC"/>
    <w:rsid w:val="004E6781"/>
    <w:rsid w:val="004E6DBC"/>
    <w:rsid w:val="004E6FAF"/>
    <w:rsid w:val="004E749F"/>
    <w:rsid w:val="004F3042"/>
    <w:rsid w:val="004F4E9B"/>
    <w:rsid w:val="004F6498"/>
    <w:rsid w:val="004F7967"/>
    <w:rsid w:val="004F7E10"/>
    <w:rsid w:val="0050158B"/>
    <w:rsid w:val="0050354D"/>
    <w:rsid w:val="00506182"/>
    <w:rsid w:val="0050632B"/>
    <w:rsid w:val="00507C46"/>
    <w:rsid w:val="00510FBE"/>
    <w:rsid w:val="00515638"/>
    <w:rsid w:val="00515C4F"/>
    <w:rsid w:val="00521EA6"/>
    <w:rsid w:val="00522083"/>
    <w:rsid w:val="00522D41"/>
    <w:rsid w:val="005239AC"/>
    <w:rsid w:val="00523A0F"/>
    <w:rsid w:val="00523F15"/>
    <w:rsid w:val="005243A3"/>
    <w:rsid w:val="00524836"/>
    <w:rsid w:val="00525A02"/>
    <w:rsid w:val="00526913"/>
    <w:rsid w:val="00526F41"/>
    <w:rsid w:val="0052785F"/>
    <w:rsid w:val="00532E0D"/>
    <w:rsid w:val="005332FC"/>
    <w:rsid w:val="00533604"/>
    <w:rsid w:val="00541146"/>
    <w:rsid w:val="00541758"/>
    <w:rsid w:val="0054179D"/>
    <w:rsid w:val="005435EA"/>
    <w:rsid w:val="00544BE7"/>
    <w:rsid w:val="005451BD"/>
    <w:rsid w:val="005543CC"/>
    <w:rsid w:val="005564EE"/>
    <w:rsid w:val="00556F2A"/>
    <w:rsid w:val="005578DD"/>
    <w:rsid w:val="00560068"/>
    <w:rsid w:val="00563168"/>
    <w:rsid w:val="005635D4"/>
    <w:rsid w:val="00563925"/>
    <w:rsid w:val="00563AE6"/>
    <w:rsid w:val="00564A63"/>
    <w:rsid w:val="00565916"/>
    <w:rsid w:val="005669D7"/>
    <w:rsid w:val="00567228"/>
    <w:rsid w:val="0057184A"/>
    <w:rsid w:val="005724E4"/>
    <w:rsid w:val="005726C4"/>
    <w:rsid w:val="00572C8B"/>
    <w:rsid w:val="00573C16"/>
    <w:rsid w:val="00573E8D"/>
    <w:rsid w:val="005753CA"/>
    <w:rsid w:val="00576CB4"/>
    <w:rsid w:val="00576FF6"/>
    <w:rsid w:val="00577073"/>
    <w:rsid w:val="00577E6B"/>
    <w:rsid w:val="00581777"/>
    <w:rsid w:val="00581EAC"/>
    <w:rsid w:val="00582AD2"/>
    <w:rsid w:val="005839B2"/>
    <w:rsid w:val="005843A4"/>
    <w:rsid w:val="00584FB2"/>
    <w:rsid w:val="0058553E"/>
    <w:rsid w:val="00585962"/>
    <w:rsid w:val="00585F81"/>
    <w:rsid w:val="00590982"/>
    <w:rsid w:val="00592E0A"/>
    <w:rsid w:val="005942C2"/>
    <w:rsid w:val="005946AE"/>
    <w:rsid w:val="00595EB3"/>
    <w:rsid w:val="0059700F"/>
    <w:rsid w:val="00597473"/>
    <w:rsid w:val="005A00C7"/>
    <w:rsid w:val="005A0F91"/>
    <w:rsid w:val="005A15A3"/>
    <w:rsid w:val="005A1FFC"/>
    <w:rsid w:val="005A22BB"/>
    <w:rsid w:val="005A31AB"/>
    <w:rsid w:val="005A3944"/>
    <w:rsid w:val="005A4410"/>
    <w:rsid w:val="005A448E"/>
    <w:rsid w:val="005A5869"/>
    <w:rsid w:val="005A5906"/>
    <w:rsid w:val="005A62AB"/>
    <w:rsid w:val="005A730F"/>
    <w:rsid w:val="005A7358"/>
    <w:rsid w:val="005B05FB"/>
    <w:rsid w:val="005B078F"/>
    <w:rsid w:val="005B0FC7"/>
    <w:rsid w:val="005B1682"/>
    <w:rsid w:val="005B218F"/>
    <w:rsid w:val="005B2A9A"/>
    <w:rsid w:val="005B50A2"/>
    <w:rsid w:val="005B5AAE"/>
    <w:rsid w:val="005B5E54"/>
    <w:rsid w:val="005B64FA"/>
    <w:rsid w:val="005C0109"/>
    <w:rsid w:val="005C349F"/>
    <w:rsid w:val="005C3CFC"/>
    <w:rsid w:val="005D0929"/>
    <w:rsid w:val="005D0C59"/>
    <w:rsid w:val="005D1AFD"/>
    <w:rsid w:val="005D2BEE"/>
    <w:rsid w:val="005D2FAF"/>
    <w:rsid w:val="005D43DD"/>
    <w:rsid w:val="005D701B"/>
    <w:rsid w:val="005E15C0"/>
    <w:rsid w:val="005E294D"/>
    <w:rsid w:val="005E392C"/>
    <w:rsid w:val="005E3B3B"/>
    <w:rsid w:val="005E54D0"/>
    <w:rsid w:val="005E5D38"/>
    <w:rsid w:val="005F0D57"/>
    <w:rsid w:val="005F185A"/>
    <w:rsid w:val="005F382B"/>
    <w:rsid w:val="005F3DAE"/>
    <w:rsid w:val="005F612F"/>
    <w:rsid w:val="005F6F9F"/>
    <w:rsid w:val="005F71AF"/>
    <w:rsid w:val="006001AE"/>
    <w:rsid w:val="006026EE"/>
    <w:rsid w:val="00602951"/>
    <w:rsid w:val="0060311F"/>
    <w:rsid w:val="006037AF"/>
    <w:rsid w:val="00605B5A"/>
    <w:rsid w:val="00606B9B"/>
    <w:rsid w:val="00606E7D"/>
    <w:rsid w:val="0060770C"/>
    <w:rsid w:val="0061073C"/>
    <w:rsid w:val="00610D6C"/>
    <w:rsid w:val="00610D8E"/>
    <w:rsid w:val="00612372"/>
    <w:rsid w:val="0061285C"/>
    <w:rsid w:val="006131CF"/>
    <w:rsid w:val="00614488"/>
    <w:rsid w:val="00614E11"/>
    <w:rsid w:val="006200D6"/>
    <w:rsid w:val="00624491"/>
    <w:rsid w:val="00625833"/>
    <w:rsid w:val="00626602"/>
    <w:rsid w:val="00626C24"/>
    <w:rsid w:val="006270B1"/>
    <w:rsid w:val="006306F9"/>
    <w:rsid w:val="0063120E"/>
    <w:rsid w:val="00631670"/>
    <w:rsid w:val="0063272C"/>
    <w:rsid w:val="00632AB7"/>
    <w:rsid w:val="00634062"/>
    <w:rsid w:val="0063410A"/>
    <w:rsid w:val="00635339"/>
    <w:rsid w:val="006357D5"/>
    <w:rsid w:val="0063657C"/>
    <w:rsid w:val="006365F2"/>
    <w:rsid w:val="00640C01"/>
    <w:rsid w:val="00641978"/>
    <w:rsid w:val="00641D24"/>
    <w:rsid w:val="006427BB"/>
    <w:rsid w:val="006432D5"/>
    <w:rsid w:val="00643AA5"/>
    <w:rsid w:val="00643AB1"/>
    <w:rsid w:val="006443A7"/>
    <w:rsid w:val="00644553"/>
    <w:rsid w:val="00645578"/>
    <w:rsid w:val="00647006"/>
    <w:rsid w:val="00647B0B"/>
    <w:rsid w:val="00647D06"/>
    <w:rsid w:val="00650315"/>
    <w:rsid w:val="0065043D"/>
    <w:rsid w:val="00650CA5"/>
    <w:rsid w:val="00651634"/>
    <w:rsid w:val="00651D4B"/>
    <w:rsid w:val="00651F89"/>
    <w:rsid w:val="0065446B"/>
    <w:rsid w:val="00655C66"/>
    <w:rsid w:val="00656437"/>
    <w:rsid w:val="006569E0"/>
    <w:rsid w:val="006578BE"/>
    <w:rsid w:val="00657C1A"/>
    <w:rsid w:val="006619D6"/>
    <w:rsid w:val="00664178"/>
    <w:rsid w:val="0066496C"/>
    <w:rsid w:val="006651A2"/>
    <w:rsid w:val="006657C2"/>
    <w:rsid w:val="00665D85"/>
    <w:rsid w:val="00670F8C"/>
    <w:rsid w:val="006713F2"/>
    <w:rsid w:val="00671964"/>
    <w:rsid w:val="0067318A"/>
    <w:rsid w:val="006742F5"/>
    <w:rsid w:val="00675B13"/>
    <w:rsid w:val="006763CE"/>
    <w:rsid w:val="00676B67"/>
    <w:rsid w:val="006772F7"/>
    <w:rsid w:val="00677EE2"/>
    <w:rsid w:val="00682BC8"/>
    <w:rsid w:val="00683D6D"/>
    <w:rsid w:val="0068416D"/>
    <w:rsid w:val="00685925"/>
    <w:rsid w:val="00686263"/>
    <w:rsid w:val="00686607"/>
    <w:rsid w:val="006866A8"/>
    <w:rsid w:val="0069056F"/>
    <w:rsid w:val="00690D65"/>
    <w:rsid w:val="006915BD"/>
    <w:rsid w:val="006918A7"/>
    <w:rsid w:val="00691CF3"/>
    <w:rsid w:val="00691D3D"/>
    <w:rsid w:val="00695290"/>
    <w:rsid w:val="006A0310"/>
    <w:rsid w:val="006A190B"/>
    <w:rsid w:val="006A3F18"/>
    <w:rsid w:val="006A435A"/>
    <w:rsid w:val="006A7549"/>
    <w:rsid w:val="006A7F69"/>
    <w:rsid w:val="006B03E4"/>
    <w:rsid w:val="006B1398"/>
    <w:rsid w:val="006B3068"/>
    <w:rsid w:val="006B3F0C"/>
    <w:rsid w:val="006B42AB"/>
    <w:rsid w:val="006B6840"/>
    <w:rsid w:val="006C137E"/>
    <w:rsid w:val="006C51C5"/>
    <w:rsid w:val="006C5608"/>
    <w:rsid w:val="006C605C"/>
    <w:rsid w:val="006C721E"/>
    <w:rsid w:val="006D1216"/>
    <w:rsid w:val="006D3BAF"/>
    <w:rsid w:val="006D6896"/>
    <w:rsid w:val="006D6AF3"/>
    <w:rsid w:val="006D6F22"/>
    <w:rsid w:val="006D76CD"/>
    <w:rsid w:val="006E0E43"/>
    <w:rsid w:val="006E38ED"/>
    <w:rsid w:val="006E3D94"/>
    <w:rsid w:val="006E5472"/>
    <w:rsid w:val="006E62B8"/>
    <w:rsid w:val="006F1650"/>
    <w:rsid w:val="006F396F"/>
    <w:rsid w:val="006F3A1D"/>
    <w:rsid w:val="006F3CE0"/>
    <w:rsid w:val="006F57A8"/>
    <w:rsid w:val="006F5992"/>
    <w:rsid w:val="006F6ABC"/>
    <w:rsid w:val="0070012B"/>
    <w:rsid w:val="00700B80"/>
    <w:rsid w:val="0070342F"/>
    <w:rsid w:val="0071184C"/>
    <w:rsid w:val="00713647"/>
    <w:rsid w:val="007138E3"/>
    <w:rsid w:val="00714412"/>
    <w:rsid w:val="00717E35"/>
    <w:rsid w:val="00720BBC"/>
    <w:rsid w:val="00721374"/>
    <w:rsid w:val="00721A4F"/>
    <w:rsid w:val="00721B53"/>
    <w:rsid w:val="00721BAA"/>
    <w:rsid w:val="00722533"/>
    <w:rsid w:val="00724ED4"/>
    <w:rsid w:val="00726678"/>
    <w:rsid w:val="007277FF"/>
    <w:rsid w:val="00732B81"/>
    <w:rsid w:val="00733AD8"/>
    <w:rsid w:val="00734894"/>
    <w:rsid w:val="00734EA2"/>
    <w:rsid w:val="00735B65"/>
    <w:rsid w:val="00736F78"/>
    <w:rsid w:val="007375F2"/>
    <w:rsid w:val="00743FD2"/>
    <w:rsid w:val="007446E4"/>
    <w:rsid w:val="007508AB"/>
    <w:rsid w:val="00753DEB"/>
    <w:rsid w:val="0075593E"/>
    <w:rsid w:val="00755BCD"/>
    <w:rsid w:val="007570AF"/>
    <w:rsid w:val="00760817"/>
    <w:rsid w:val="00760B7F"/>
    <w:rsid w:val="00761B31"/>
    <w:rsid w:val="00762133"/>
    <w:rsid w:val="00762420"/>
    <w:rsid w:val="00762E85"/>
    <w:rsid w:val="00763191"/>
    <w:rsid w:val="007632FB"/>
    <w:rsid w:val="00763A79"/>
    <w:rsid w:val="00763CF3"/>
    <w:rsid w:val="00763DF7"/>
    <w:rsid w:val="00764249"/>
    <w:rsid w:val="00764D03"/>
    <w:rsid w:val="007650A1"/>
    <w:rsid w:val="007653E5"/>
    <w:rsid w:val="00765DC2"/>
    <w:rsid w:val="007672DA"/>
    <w:rsid w:val="00767535"/>
    <w:rsid w:val="00771772"/>
    <w:rsid w:val="00771A74"/>
    <w:rsid w:val="00772784"/>
    <w:rsid w:val="007729EB"/>
    <w:rsid w:val="00772D17"/>
    <w:rsid w:val="0077414B"/>
    <w:rsid w:val="0077419B"/>
    <w:rsid w:val="00775E44"/>
    <w:rsid w:val="00776505"/>
    <w:rsid w:val="007770D6"/>
    <w:rsid w:val="00777869"/>
    <w:rsid w:val="00780DBB"/>
    <w:rsid w:val="00782733"/>
    <w:rsid w:val="00782A58"/>
    <w:rsid w:val="00783D23"/>
    <w:rsid w:val="00785C00"/>
    <w:rsid w:val="007867CF"/>
    <w:rsid w:val="00791019"/>
    <w:rsid w:val="0079135B"/>
    <w:rsid w:val="0079264C"/>
    <w:rsid w:val="00792E94"/>
    <w:rsid w:val="00793879"/>
    <w:rsid w:val="00793DD2"/>
    <w:rsid w:val="007A0633"/>
    <w:rsid w:val="007A1376"/>
    <w:rsid w:val="007A2FF9"/>
    <w:rsid w:val="007A56EA"/>
    <w:rsid w:val="007A5741"/>
    <w:rsid w:val="007B36E8"/>
    <w:rsid w:val="007B3703"/>
    <w:rsid w:val="007B571D"/>
    <w:rsid w:val="007B5A71"/>
    <w:rsid w:val="007B60B5"/>
    <w:rsid w:val="007B7791"/>
    <w:rsid w:val="007B793E"/>
    <w:rsid w:val="007C0A21"/>
    <w:rsid w:val="007C2C7D"/>
    <w:rsid w:val="007C3A57"/>
    <w:rsid w:val="007C4858"/>
    <w:rsid w:val="007C4D64"/>
    <w:rsid w:val="007C56C5"/>
    <w:rsid w:val="007C6817"/>
    <w:rsid w:val="007C7019"/>
    <w:rsid w:val="007C7077"/>
    <w:rsid w:val="007D074B"/>
    <w:rsid w:val="007D1387"/>
    <w:rsid w:val="007D2485"/>
    <w:rsid w:val="007D254D"/>
    <w:rsid w:val="007D31B0"/>
    <w:rsid w:val="007D7948"/>
    <w:rsid w:val="007D7B43"/>
    <w:rsid w:val="007D7CBE"/>
    <w:rsid w:val="007E0537"/>
    <w:rsid w:val="007E0601"/>
    <w:rsid w:val="007E19CB"/>
    <w:rsid w:val="007E3DFE"/>
    <w:rsid w:val="007E40DD"/>
    <w:rsid w:val="007E6915"/>
    <w:rsid w:val="007E6D08"/>
    <w:rsid w:val="007E7509"/>
    <w:rsid w:val="007E7B63"/>
    <w:rsid w:val="007F19C3"/>
    <w:rsid w:val="007F1B5E"/>
    <w:rsid w:val="007F2B6F"/>
    <w:rsid w:val="007F2C16"/>
    <w:rsid w:val="007F3901"/>
    <w:rsid w:val="007F39E3"/>
    <w:rsid w:val="007F4C73"/>
    <w:rsid w:val="007F558D"/>
    <w:rsid w:val="007F5691"/>
    <w:rsid w:val="007F5D22"/>
    <w:rsid w:val="007F5F13"/>
    <w:rsid w:val="007F605F"/>
    <w:rsid w:val="007F7C80"/>
    <w:rsid w:val="007F7E1D"/>
    <w:rsid w:val="008002EB"/>
    <w:rsid w:val="00800579"/>
    <w:rsid w:val="00800BB0"/>
    <w:rsid w:val="008018A8"/>
    <w:rsid w:val="008028B7"/>
    <w:rsid w:val="00803430"/>
    <w:rsid w:val="0081033A"/>
    <w:rsid w:val="008117E7"/>
    <w:rsid w:val="00813E63"/>
    <w:rsid w:val="00814252"/>
    <w:rsid w:val="00814CB3"/>
    <w:rsid w:val="008151C7"/>
    <w:rsid w:val="00816AA6"/>
    <w:rsid w:val="00822B43"/>
    <w:rsid w:val="00823D27"/>
    <w:rsid w:val="00823E78"/>
    <w:rsid w:val="008245A8"/>
    <w:rsid w:val="0082560B"/>
    <w:rsid w:val="00826644"/>
    <w:rsid w:val="00826CEE"/>
    <w:rsid w:val="0082737E"/>
    <w:rsid w:val="00830E4D"/>
    <w:rsid w:val="0083273B"/>
    <w:rsid w:val="00832C22"/>
    <w:rsid w:val="00832F18"/>
    <w:rsid w:val="00833F74"/>
    <w:rsid w:val="00834114"/>
    <w:rsid w:val="00835788"/>
    <w:rsid w:val="00836FC3"/>
    <w:rsid w:val="008408AD"/>
    <w:rsid w:val="00840930"/>
    <w:rsid w:val="00841EF1"/>
    <w:rsid w:val="00842B03"/>
    <w:rsid w:val="008437C4"/>
    <w:rsid w:val="008446BB"/>
    <w:rsid w:val="00845FFF"/>
    <w:rsid w:val="00846585"/>
    <w:rsid w:val="00851AF9"/>
    <w:rsid w:val="00851F6C"/>
    <w:rsid w:val="008523D0"/>
    <w:rsid w:val="008524B0"/>
    <w:rsid w:val="00852ADD"/>
    <w:rsid w:val="00853359"/>
    <w:rsid w:val="00853763"/>
    <w:rsid w:val="008543AD"/>
    <w:rsid w:val="00855721"/>
    <w:rsid w:val="00855A38"/>
    <w:rsid w:val="00856D19"/>
    <w:rsid w:val="00861D81"/>
    <w:rsid w:val="00862178"/>
    <w:rsid w:val="00863964"/>
    <w:rsid w:val="00865164"/>
    <w:rsid w:val="00865CE1"/>
    <w:rsid w:val="00870100"/>
    <w:rsid w:val="008710B7"/>
    <w:rsid w:val="00871C98"/>
    <w:rsid w:val="00872152"/>
    <w:rsid w:val="00873164"/>
    <w:rsid w:val="00873286"/>
    <w:rsid w:val="00875B32"/>
    <w:rsid w:val="00876DA2"/>
    <w:rsid w:val="00877BCE"/>
    <w:rsid w:val="00880C21"/>
    <w:rsid w:val="00880DED"/>
    <w:rsid w:val="00881DE4"/>
    <w:rsid w:val="00882DC1"/>
    <w:rsid w:val="00882F8E"/>
    <w:rsid w:val="00883E6A"/>
    <w:rsid w:val="008845EC"/>
    <w:rsid w:val="00884A38"/>
    <w:rsid w:val="00885CB5"/>
    <w:rsid w:val="0088626A"/>
    <w:rsid w:val="00890C5E"/>
    <w:rsid w:val="00891A55"/>
    <w:rsid w:val="008930D4"/>
    <w:rsid w:val="0089475D"/>
    <w:rsid w:val="00895BF7"/>
    <w:rsid w:val="00896254"/>
    <w:rsid w:val="008A0EDE"/>
    <w:rsid w:val="008A1044"/>
    <w:rsid w:val="008A11C5"/>
    <w:rsid w:val="008A283D"/>
    <w:rsid w:val="008A41AB"/>
    <w:rsid w:val="008A4F52"/>
    <w:rsid w:val="008A5019"/>
    <w:rsid w:val="008A532D"/>
    <w:rsid w:val="008A5C2D"/>
    <w:rsid w:val="008A5CCF"/>
    <w:rsid w:val="008A6FF8"/>
    <w:rsid w:val="008A7081"/>
    <w:rsid w:val="008B1D21"/>
    <w:rsid w:val="008B2A50"/>
    <w:rsid w:val="008B2B60"/>
    <w:rsid w:val="008B38AE"/>
    <w:rsid w:val="008B3DB4"/>
    <w:rsid w:val="008B57D0"/>
    <w:rsid w:val="008B5F8F"/>
    <w:rsid w:val="008B7F06"/>
    <w:rsid w:val="008C4410"/>
    <w:rsid w:val="008C445A"/>
    <w:rsid w:val="008C5EF1"/>
    <w:rsid w:val="008C64BD"/>
    <w:rsid w:val="008C6645"/>
    <w:rsid w:val="008C6761"/>
    <w:rsid w:val="008C75A6"/>
    <w:rsid w:val="008D0392"/>
    <w:rsid w:val="008D1C26"/>
    <w:rsid w:val="008D2350"/>
    <w:rsid w:val="008D2453"/>
    <w:rsid w:val="008D2FC8"/>
    <w:rsid w:val="008D36B4"/>
    <w:rsid w:val="008D6A04"/>
    <w:rsid w:val="008D7A03"/>
    <w:rsid w:val="008E127F"/>
    <w:rsid w:val="008E214D"/>
    <w:rsid w:val="008E25BB"/>
    <w:rsid w:val="008E2C50"/>
    <w:rsid w:val="008E3DB4"/>
    <w:rsid w:val="008E403E"/>
    <w:rsid w:val="008E4510"/>
    <w:rsid w:val="008E4B18"/>
    <w:rsid w:val="008E5717"/>
    <w:rsid w:val="008F0DC1"/>
    <w:rsid w:val="008F2180"/>
    <w:rsid w:val="008F2888"/>
    <w:rsid w:val="008F32C2"/>
    <w:rsid w:val="008F394F"/>
    <w:rsid w:val="008F3E3B"/>
    <w:rsid w:val="008F406B"/>
    <w:rsid w:val="008F4CB0"/>
    <w:rsid w:val="008F764B"/>
    <w:rsid w:val="00901FEC"/>
    <w:rsid w:val="0090213F"/>
    <w:rsid w:val="00902416"/>
    <w:rsid w:val="009028B7"/>
    <w:rsid w:val="00903619"/>
    <w:rsid w:val="0090441F"/>
    <w:rsid w:val="0090780A"/>
    <w:rsid w:val="00907DAD"/>
    <w:rsid w:val="00912D12"/>
    <w:rsid w:val="009132BA"/>
    <w:rsid w:val="009141C4"/>
    <w:rsid w:val="00914AEF"/>
    <w:rsid w:val="0091524A"/>
    <w:rsid w:val="00920030"/>
    <w:rsid w:val="00921794"/>
    <w:rsid w:val="009221F2"/>
    <w:rsid w:val="009223E3"/>
    <w:rsid w:val="00924851"/>
    <w:rsid w:val="0093081A"/>
    <w:rsid w:val="009316BD"/>
    <w:rsid w:val="0093230D"/>
    <w:rsid w:val="00933908"/>
    <w:rsid w:val="009344B1"/>
    <w:rsid w:val="00935293"/>
    <w:rsid w:val="00935821"/>
    <w:rsid w:val="009368D8"/>
    <w:rsid w:val="00936B54"/>
    <w:rsid w:val="00936C6B"/>
    <w:rsid w:val="00937ED3"/>
    <w:rsid w:val="00940A9B"/>
    <w:rsid w:val="00940DC0"/>
    <w:rsid w:val="00940E7D"/>
    <w:rsid w:val="00942CFA"/>
    <w:rsid w:val="009437E3"/>
    <w:rsid w:val="0094481E"/>
    <w:rsid w:val="00950383"/>
    <w:rsid w:val="00950527"/>
    <w:rsid w:val="00950CCB"/>
    <w:rsid w:val="00950FD8"/>
    <w:rsid w:val="009514E1"/>
    <w:rsid w:val="00951583"/>
    <w:rsid w:val="009517E5"/>
    <w:rsid w:val="00952750"/>
    <w:rsid w:val="00952F2A"/>
    <w:rsid w:val="009541D5"/>
    <w:rsid w:val="00954339"/>
    <w:rsid w:val="009544DC"/>
    <w:rsid w:val="00955215"/>
    <w:rsid w:val="00960A93"/>
    <w:rsid w:val="009619E3"/>
    <w:rsid w:val="00961E29"/>
    <w:rsid w:val="0096219F"/>
    <w:rsid w:val="0096279E"/>
    <w:rsid w:val="00963141"/>
    <w:rsid w:val="00964496"/>
    <w:rsid w:val="0096499D"/>
    <w:rsid w:val="00964E90"/>
    <w:rsid w:val="00965732"/>
    <w:rsid w:val="00965B3E"/>
    <w:rsid w:val="009677D7"/>
    <w:rsid w:val="00967D67"/>
    <w:rsid w:val="00967E9A"/>
    <w:rsid w:val="00970A91"/>
    <w:rsid w:val="00970FF6"/>
    <w:rsid w:val="009722EE"/>
    <w:rsid w:val="00972B93"/>
    <w:rsid w:val="009736E5"/>
    <w:rsid w:val="00973A21"/>
    <w:rsid w:val="00974E84"/>
    <w:rsid w:val="009811C5"/>
    <w:rsid w:val="009819D8"/>
    <w:rsid w:val="00982A7D"/>
    <w:rsid w:val="0098355D"/>
    <w:rsid w:val="00984695"/>
    <w:rsid w:val="00986E9E"/>
    <w:rsid w:val="00987CEE"/>
    <w:rsid w:val="00992BD8"/>
    <w:rsid w:val="00992CD9"/>
    <w:rsid w:val="00994403"/>
    <w:rsid w:val="009944E4"/>
    <w:rsid w:val="009953B6"/>
    <w:rsid w:val="009963B8"/>
    <w:rsid w:val="00996408"/>
    <w:rsid w:val="00997D0A"/>
    <w:rsid w:val="009A0785"/>
    <w:rsid w:val="009A0D7E"/>
    <w:rsid w:val="009A1BC9"/>
    <w:rsid w:val="009A20BC"/>
    <w:rsid w:val="009A5E0B"/>
    <w:rsid w:val="009A67D6"/>
    <w:rsid w:val="009B15E5"/>
    <w:rsid w:val="009B246E"/>
    <w:rsid w:val="009B354C"/>
    <w:rsid w:val="009B3828"/>
    <w:rsid w:val="009B3E33"/>
    <w:rsid w:val="009B453D"/>
    <w:rsid w:val="009B4D02"/>
    <w:rsid w:val="009B536E"/>
    <w:rsid w:val="009B5976"/>
    <w:rsid w:val="009B6627"/>
    <w:rsid w:val="009B68D2"/>
    <w:rsid w:val="009C0F84"/>
    <w:rsid w:val="009C3AAD"/>
    <w:rsid w:val="009C3FEC"/>
    <w:rsid w:val="009C521B"/>
    <w:rsid w:val="009C5284"/>
    <w:rsid w:val="009C6350"/>
    <w:rsid w:val="009C7956"/>
    <w:rsid w:val="009D22C7"/>
    <w:rsid w:val="009D24C4"/>
    <w:rsid w:val="009D67B2"/>
    <w:rsid w:val="009D69DB"/>
    <w:rsid w:val="009D735B"/>
    <w:rsid w:val="009D7832"/>
    <w:rsid w:val="009E21C0"/>
    <w:rsid w:val="009E34EE"/>
    <w:rsid w:val="009E462A"/>
    <w:rsid w:val="009E5685"/>
    <w:rsid w:val="009E578D"/>
    <w:rsid w:val="009E5FBB"/>
    <w:rsid w:val="009E71EF"/>
    <w:rsid w:val="009F04D0"/>
    <w:rsid w:val="009F2749"/>
    <w:rsid w:val="009F27AA"/>
    <w:rsid w:val="009F3027"/>
    <w:rsid w:val="009F3049"/>
    <w:rsid w:val="009F42F5"/>
    <w:rsid w:val="009F5325"/>
    <w:rsid w:val="009F5E3F"/>
    <w:rsid w:val="009F607B"/>
    <w:rsid w:val="009F6443"/>
    <w:rsid w:val="009F6954"/>
    <w:rsid w:val="009F69A9"/>
    <w:rsid w:val="009F7EA4"/>
    <w:rsid w:val="00A006CB"/>
    <w:rsid w:val="00A01936"/>
    <w:rsid w:val="00A02A0B"/>
    <w:rsid w:val="00A068FC"/>
    <w:rsid w:val="00A07FF6"/>
    <w:rsid w:val="00A11F5A"/>
    <w:rsid w:val="00A13E18"/>
    <w:rsid w:val="00A1437C"/>
    <w:rsid w:val="00A1452F"/>
    <w:rsid w:val="00A15B17"/>
    <w:rsid w:val="00A15D79"/>
    <w:rsid w:val="00A15E37"/>
    <w:rsid w:val="00A169FF"/>
    <w:rsid w:val="00A21F1A"/>
    <w:rsid w:val="00A237DB"/>
    <w:rsid w:val="00A24B67"/>
    <w:rsid w:val="00A24D1B"/>
    <w:rsid w:val="00A25202"/>
    <w:rsid w:val="00A2612D"/>
    <w:rsid w:val="00A2768D"/>
    <w:rsid w:val="00A27705"/>
    <w:rsid w:val="00A27AB8"/>
    <w:rsid w:val="00A31E08"/>
    <w:rsid w:val="00A32B9B"/>
    <w:rsid w:val="00A32D8D"/>
    <w:rsid w:val="00A32DDA"/>
    <w:rsid w:val="00A337F9"/>
    <w:rsid w:val="00A3389E"/>
    <w:rsid w:val="00A33CC3"/>
    <w:rsid w:val="00A33E7F"/>
    <w:rsid w:val="00A35659"/>
    <w:rsid w:val="00A35BA1"/>
    <w:rsid w:val="00A35CFF"/>
    <w:rsid w:val="00A4157D"/>
    <w:rsid w:val="00A428AF"/>
    <w:rsid w:val="00A45D2B"/>
    <w:rsid w:val="00A473BC"/>
    <w:rsid w:val="00A5013C"/>
    <w:rsid w:val="00A50D98"/>
    <w:rsid w:val="00A51BF6"/>
    <w:rsid w:val="00A51CB8"/>
    <w:rsid w:val="00A52136"/>
    <w:rsid w:val="00A5381D"/>
    <w:rsid w:val="00A606B0"/>
    <w:rsid w:val="00A606F7"/>
    <w:rsid w:val="00A60745"/>
    <w:rsid w:val="00A60C80"/>
    <w:rsid w:val="00A612F8"/>
    <w:rsid w:val="00A61AFA"/>
    <w:rsid w:val="00A62EDB"/>
    <w:rsid w:val="00A635D2"/>
    <w:rsid w:val="00A64783"/>
    <w:rsid w:val="00A66EAA"/>
    <w:rsid w:val="00A70350"/>
    <w:rsid w:val="00A708E3"/>
    <w:rsid w:val="00A70E2C"/>
    <w:rsid w:val="00A71A9E"/>
    <w:rsid w:val="00A7323A"/>
    <w:rsid w:val="00A737BD"/>
    <w:rsid w:val="00A739CB"/>
    <w:rsid w:val="00A74D05"/>
    <w:rsid w:val="00A74E40"/>
    <w:rsid w:val="00A75005"/>
    <w:rsid w:val="00A75A54"/>
    <w:rsid w:val="00A770F7"/>
    <w:rsid w:val="00A77F95"/>
    <w:rsid w:val="00A806B0"/>
    <w:rsid w:val="00A80B34"/>
    <w:rsid w:val="00A83767"/>
    <w:rsid w:val="00A83F23"/>
    <w:rsid w:val="00A853E7"/>
    <w:rsid w:val="00A85C77"/>
    <w:rsid w:val="00A914AC"/>
    <w:rsid w:val="00A9227A"/>
    <w:rsid w:val="00A94110"/>
    <w:rsid w:val="00A942CE"/>
    <w:rsid w:val="00A9526E"/>
    <w:rsid w:val="00A95538"/>
    <w:rsid w:val="00A95765"/>
    <w:rsid w:val="00A9743C"/>
    <w:rsid w:val="00AA2257"/>
    <w:rsid w:val="00AA2EA9"/>
    <w:rsid w:val="00AA407D"/>
    <w:rsid w:val="00AA4355"/>
    <w:rsid w:val="00AA468B"/>
    <w:rsid w:val="00AA4E03"/>
    <w:rsid w:val="00AA600F"/>
    <w:rsid w:val="00AA73F2"/>
    <w:rsid w:val="00AB0832"/>
    <w:rsid w:val="00AB182C"/>
    <w:rsid w:val="00AB1DB7"/>
    <w:rsid w:val="00AB2341"/>
    <w:rsid w:val="00AB376B"/>
    <w:rsid w:val="00AB5B3A"/>
    <w:rsid w:val="00AB5F6C"/>
    <w:rsid w:val="00AB7421"/>
    <w:rsid w:val="00AB7A7A"/>
    <w:rsid w:val="00AC1A02"/>
    <w:rsid w:val="00AC2748"/>
    <w:rsid w:val="00AC3054"/>
    <w:rsid w:val="00AC352F"/>
    <w:rsid w:val="00AC67F8"/>
    <w:rsid w:val="00AC7E51"/>
    <w:rsid w:val="00AD4700"/>
    <w:rsid w:val="00AD6032"/>
    <w:rsid w:val="00AD6ABD"/>
    <w:rsid w:val="00AD7EEE"/>
    <w:rsid w:val="00AE0088"/>
    <w:rsid w:val="00AE0907"/>
    <w:rsid w:val="00AE0B3D"/>
    <w:rsid w:val="00AE1451"/>
    <w:rsid w:val="00AE14BA"/>
    <w:rsid w:val="00AE1FFC"/>
    <w:rsid w:val="00AE28F4"/>
    <w:rsid w:val="00AE2B26"/>
    <w:rsid w:val="00AE2DB9"/>
    <w:rsid w:val="00AE4680"/>
    <w:rsid w:val="00AE5966"/>
    <w:rsid w:val="00AE6D5F"/>
    <w:rsid w:val="00AE71F6"/>
    <w:rsid w:val="00AE7F39"/>
    <w:rsid w:val="00AF0206"/>
    <w:rsid w:val="00AF1EAF"/>
    <w:rsid w:val="00AF20AC"/>
    <w:rsid w:val="00AF2448"/>
    <w:rsid w:val="00AF2781"/>
    <w:rsid w:val="00AF4C11"/>
    <w:rsid w:val="00AF6D34"/>
    <w:rsid w:val="00B01B7E"/>
    <w:rsid w:val="00B02404"/>
    <w:rsid w:val="00B06635"/>
    <w:rsid w:val="00B0669B"/>
    <w:rsid w:val="00B10290"/>
    <w:rsid w:val="00B111FE"/>
    <w:rsid w:val="00B121A9"/>
    <w:rsid w:val="00B13627"/>
    <w:rsid w:val="00B13CD2"/>
    <w:rsid w:val="00B13D7D"/>
    <w:rsid w:val="00B13F17"/>
    <w:rsid w:val="00B144B9"/>
    <w:rsid w:val="00B1582B"/>
    <w:rsid w:val="00B16110"/>
    <w:rsid w:val="00B16F86"/>
    <w:rsid w:val="00B17117"/>
    <w:rsid w:val="00B17A1B"/>
    <w:rsid w:val="00B17FF9"/>
    <w:rsid w:val="00B2335A"/>
    <w:rsid w:val="00B244D2"/>
    <w:rsid w:val="00B24B5F"/>
    <w:rsid w:val="00B24EF1"/>
    <w:rsid w:val="00B26420"/>
    <w:rsid w:val="00B27FE9"/>
    <w:rsid w:val="00B30506"/>
    <w:rsid w:val="00B307FA"/>
    <w:rsid w:val="00B30833"/>
    <w:rsid w:val="00B315FC"/>
    <w:rsid w:val="00B31625"/>
    <w:rsid w:val="00B31728"/>
    <w:rsid w:val="00B31EC3"/>
    <w:rsid w:val="00B33E43"/>
    <w:rsid w:val="00B344E1"/>
    <w:rsid w:val="00B35B7A"/>
    <w:rsid w:val="00B379FA"/>
    <w:rsid w:val="00B37C6D"/>
    <w:rsid w:val="00B37E37"/>
    <w:rsid w:val="00B37E69"/>
    <w:rsid w:val="00B40C4D"/>
    <w:rsid w:val="00B42318"/>
    <w:rsid w:val="00B428E3"/>
    <w:rsid w:val="00B45102"/>
    <w:rsid w:val="00B4547B"/>
    <w:rsid w:val="00B456EB"/>
    <w:rsid w:val="00B45CEA"/>
    <w:rsid w:val="00B50156"/>
    <w:rsid w:val="00B505A8"/>
    <w:rsid w:val="00B5094D"/>
    <w:rsid w:val="00B53E13"/>
    <w:rsid w:val="00B53FCA"/>
    <w:rsid w:val="00B54902"/>
    <w:rsid w:val="00B54BDB"/>
    <w:rsid w:val="00B55BE6"/>
    <w:rsid w:val="00B55C40"/>
    <w:rsid w:val="00B576FC"/>
    <w:rsid w:val="00B60D6E"/>
    <w:rsid w:val="00B61976"/>
    <w:rsid w:val="00B61BC8"/>
    <w:rsid w:val="00B6306A"/>
    <w:rsid w:val="00B635E2"/>
    <w:rsid w:val="00B637A4"/>
    <w:rsid w:val="00B64BFB"/>
    <w:rsid w:val="00B65E22"/>
    <w:rsid w:val="00B660F3"/>
    <w:rsid w:val="00B6682D"/>
    <w:rsid w:val="00B679F2"/>
    <w:rsid w:val="00B71F40"/>
    <w:rsid w:val="00B728F3"/>
    <w:rsid w:val="00B73774"/>
    <w:rsid w:val="00B73F8A"/>
    <w:rsid w:val="00B77597"/>
    <w:rsid w:val="00B8250E"/>
    <w:rsid w:val="00B82A76"/>
    <w:rsid w:val="00B84AA8"/>
    <w:rsid w:val="00B85328"/>
    <w:rsid w:val="00B857B4"/>
    <w:rsid w:val="00B85C5E"/>
    <w:rsid w:val="00B86203"/>
    <w:rsid w:val="00B86739"/>
    <w:rsid w:val="00B8698A"/>
    <w:rsid w:val="00B87846"/>
    <w:rsid w:val="00B900C7"/>
    <w:rsid w:val="00B93CA6"/>
    <w:rsid w:val="00B943B0"/>
    <w:rsid w:val="00B9551C"/>
    <w:rsid w:val="00B95795"/>
    <w:rsid w:val="00B9646C"/>
    <w:rsid w:val="00BA00A8"/>
    <w:rsid w:val="00BA077C"/>
    <w:rsid w:val="00BA32FD"/>
    <w:rsid w:val="00BA359B"/>
    <w:rsid w:val="00BA3AD7"/>
    <w:rsid w:val="00BA4242"/>
    <w:rsid w:val="00BA7E87"/>
    <w:rsid w:val="00BB0B7B"/>
    <w:rsid w:val="00BB1264"/>
    <w:rsid w:val="00BB1DF2"/>
    <w:rsid w:val="00BB2943"/>
    <w:rsid w:val="00BB353B"/>
    <w:rsid w:val="00BB3E86"/>
    <w:rsid w:val="00BB43B4"/>
    <w:rsid w:val="00BB58C9"/>
    <w:rsid w:val="00BB5D6C"/>
    <w:rsid w:val="00BB6523"/>
    <w:rsid w:val="00BB759F"/>
    <w:rsid w:val="00BB79C2"/>
    <w:rsid w:val="00BC125D"/>
    <w:rsid w:val="00BC1DDF"/>
    <w:rsid w:val="00BC3B4D"/>
    <w:rsid w:val="00BC684E"/>
    <w:rsid w:val="00BD1444"/>
    <w:rsid w:val="00BD171E"/>
    <w:rsid w:val="00BD192D"/>
    <w:rsid w:val="00BD35BE"/>
    <w:rsid w:val="00BD3842"/>
    <w:rsid w:val="00BD3EFF"/>
    <w:rsid w:val="00BD5142"/>
    <w:rsid w:val="00BD6902"/>
    <w:rsid w:val="00BD6E07"/>
    <w:rsid w:val="00BD7303"/>
    <w:rsid w:val="00BD74A4"/>
    <w:rsid w:val="00BD7C02"/>
    <w:rsid w:val="00BE235C"/>
    <w:rsid w:val="00BE3648"/>
    <w:rsid w:val="00BE3BF5"/>
    <w:rsid w:val="00BE46A1"/>
    <w:rsid w:val="00BE53ED"/>
    <w:rsid w:val="00BE56B9"/>
    <w:rsid w:val="00BE62FC"/>
    <w:rsid w:val="00BE6655"/>
    <w:rsid w:val="00BE6FF4"/>
    <w:rsid w:val="00BE7603"/>
    <w:rsid w:val="00BF071C"/>
    <w:rsid w:val="00BF4151"/>
    <w:rsid w:val="00BF47FA"/>
    <w:rsid w:val="00BF4FDE"/>
    <w:rsid w:val="00BF5072"/>
    <w:rsid w:val="00BF5E5B"/>
    <w:rsid w:val="00BF67CE"/>
    <w:rsid w:val="00C00B78"/>
    <w:rsid w:val="00C02CD1"/>
    <w:rsid w:val="00C03A65"/>
    <w:rsid w:val="00C04300"/>
    <w:rsid w:val="00C047AE"/>
    <w:rsid w:val="00C05E5D"/>
    <w:rsid w:val="00C07343"/>
    <w:rsid w:val="00C106EE"/>
    <w:rsid w:val="00C109A3"/>
    <w:rsid w:val="00C11163"/>
    <w:rsid w:val="00C11B7C"/>
    <w:rsid w:val="00C12421"/>
    <w:rsid w:val="00C14D02"/>
    <w:rsid w:val="00C15432"/>
    <w:rsid w:val="00C15C53"/>
    <w:rsid w:val="00C204FA"/>
    <w:rsid w:val="00C213CB"/>
    <w:rsid w:val="00C226E6"/>
    <w:rsid w:val="00C259FB"/>
    <w:rsid w:val="00C26C5A"/>
    <w:rsid w:val="00C27011"/>
    <w:rsid w:val="00C31A9B"/>
    <w:rsid w:val="00C3251E"/>
    <w:rsid w:val="00C327A8"/>
    <w:rsid w:val="00C336A9"/>
    <w:rsid w:val="00C3396A"/>
    <w:rsid w:val="00C33983"/>
    <w:rsid w:val="00C345E4"/>
    <w:rsid w:val="00C34D27"/>
    <w:rsid w:val="00C370BE"/>
    <w:rsid w:val="00C37CA3"/>
    <w:rsid w:val="00C40636"/>
    <w:rsid w:val="00C4394A"/>
    <w:rsid w:val="00C43D77"/>
    <w:rsid w:val="00C44BBE"/>
    <w:rsid w:val="00C44CFC"/>
    <w:rsid w:val="00C44DCC"/>
    <w:rsid w:val="00C45582"/>
    <w:rsid w:val="00C4748B"/>
    <w:rsid w:val="00C47848"/>
    <w:rsid w:val="00C511B9"/>
    <w:rsid w:val="00C5181D"/>
    <w:rsid w:val="00C53971"/>
    <w:rsid w:val="00C54567"/>
    <w:rsid w:val="00C54C6A"/>
    <w:rsid w:val="00C57798"/>
    <w:rsid w:val="00C57943"/>
    <w:rsid w:val="00C626BA"/>
    <w:rsid w:val="00C63201"/>
    <w:rsid w:val="00C64859"/>
    <w:rsid w:val="00C66598"/>
    <w:rsid w:val="00C676AB"/>
    <w:rsid w:val="00C67B65"/>
    <w:rsid w:val="00C71066"/>
    <w:rsid w:val="00C741DE"/>
    <w:rsid w:val="00C74DE5"/>
    <w:rsid w:val="00C74FCB"/>
    <w:rsid w:val="00C75504"/>
    <w:rsid w:val="00C7659F"/>
    <w:rsid w:val="00C7787E"/>
    <w:rsid w:val="00C77AA0"/>
    <w:rsid w:val="00C81295"/>
    <w:rsid w:val="00C817AF"/>
    <w:rsid w:val="00C84C7B"/>
    <w:rsid w:val="00C85CF5"/>
    <w:rsid w:val="00C86D29"/>
    <w:rsid w:val="00C86ECF"/>
    <w:rsid w:val="00C87A96"/>
    <w:rsid w:val="00C90034"/>
    <w:rsid w:val="00C91C79"/>
    <w:rsid w:val="00C92D71"/>
    <w:rsid w:val="00C930A3"/>
    <w:rsid w:val="00C937A8"/>
    <w:rsid w:val="00C9409B"/>
    <w:rsid w:val="00C942AA"/>
    <w:rsid w:val="00C948D5"/>
    <w:rsid w:val="00C94A38"/>
    <w:rsid w:val="00C95273"/>
    <w:rsid w:val="00C954BA"/>
    <w:rsid w:val="00CA03B6"/>
    <w:rsid w:val="00CA1982"/>
    <w:rsid w:val="00CA2AD8"/>
    <w:rsid w:val="00CA5986"/>
    <w:rsid w:val="00CA5D70"/>
    <w:rsid w:val="00CA6841"/>
    <w:rsid w:val="00CA6844"/>
    <w:rsid w:val="00CB3A3E"/>
    <w:rsid w:val="00CB4701"/>
    <w:rsid w:val="00CB4EF3"/>
    <w:rsid w:val="00CB682D"/>
    <w:rsid w:val="00CB687C"/>
    <w:rsid w:val="00CB7A76"/>
    <w:rsid w:val="00CC73E1"/>
    <w:rsid w:val="00CD1566"/>
    <w:rsid w:val="00CD1CC9"/>
    <w:rsid w:val="00CD1F65"/>
    <w:rsid w:val="00CD1F9D"/>
    <w:rsid w:val="00CD2E1B"/>
    <w:rsid w:val="00CD2FE9"/>
    <w:rsid w:val="00CD3891"/>
    <w:rsid w:val="00CD571F"/>
    <w:rsid w:val="00CD5EAC"/>
    <w:rsid w:val="00CD6392"/>
    <w:rsid w:val="00CD6E77"/>
    <w:rsid w:val="00CD7594"/>
    <w:rsid w:val="00CD789B"/>
    <w:rsid w:val="00CE00D6"/>
    <w:rsid w:val="00CE1210"/>
    <w:rsid w:val="00CE3D1E"/>
    <w:rsid w:val="00CE3EA9"/>
    <w:rsid w:val="00CE4EE8"/>
    <w:rsid w:val="00CE5681"/>
    <w:rsid w:val="00CE582A"/>
    <w:rsid w:val="00CE781A"/>
    <w:rsid w:val="00CF08D2"/>
    <w:rsid w:val="00CF2593"/>
    <w:rsid w:val="00CF2836"/>
    <w:rsid w:val="00CF5E7C"/>
    <w:rsid w:val="00CF61FC"/>
    <w:rsid w:val="00CF691F"/>
    <w:rsid w:val="00CF6DC3"/>
    <w:rsid w:val="00D02D15"/>
    <w:rsid w:val="00D0323E"/>
    <w:rsid w:val="00D03CBF"/>
    <w:rsid w:val="00D06069"/>
    <w:rsid w:val="00D07D7B"/>
    <w:rsid w:val="00D101F4"/>
    <w:rsid w:val="00D11EF5"/>
    <w:rsid w:val="00D12625"/>
    <w:rsid w:val="00D12985"/>
    <w:rsid w:val="00D13BF2"/>
    <w:rsid w:val="00D14948"/>
    <w:rsid w:val="00D15ED4"/>
    <w:rsid w:val="00D161C8"/>
    <w:rsid w:val="00D20762"/>
    <w:rsid w:val="00D22575"/>
    <w:rsid w:val="00D230AD"/>
    <w:rsid w:val="00D24321"/>
    <w:rsid w:val="00D24D44"/>
    <w:rsid w:val="00D2594F"/>
    <w:rsid w:val="00D26601"/>
    <w:rsid w:val="00D26F4A"/>
    <w:rsid w:val="00D2720E"/>
    <w:rsid w:val="00D277E5"/>
    <w:rsid w:val="00D27FEB"/>
    <w:rsid w:val="00D30A03"/>
    <w:rsid w:val="00D3132B"/>
    <w:rsid w:val="00D3199A"/>
    <w:rsid w:val="00D33688"/>
    <w:rsid w:val="00D3466D"/>
    <w:rsid w:val="00D34E49"/>
    <w:rsid w:val="00D3555C"/>
    <w:rsid w:val="00D35A88"/>
    <w:rsid w:val="00D36926"/>
    <w:rsid w:val="00D36B47"/>
    <w:rsid w:val="00D36D98"/>
    <w:rsid w:val="00D42A8C"/>
    <w:rsid w:val="00D44FAC"/>
    <w:rsid w:val="00D455D4"/>
    <w:rsid w:val="00D46122"/>
    <w:rsid w:val="00D4699D"/>
    <w:rsid w:val="00D46F32"/>
    <w:rsid w:val="00D474BF"/>
    <w:rsid w:val="00D47680"/>
    <w:rsid w:val="00D50D86"/>
    <w:rsid w:val="00D50E6D"/>
    <w:rsid w:val="00D51AB2"/>
    <w:rsid w:val="00D54240"/>
    <w:rsid w:val="00D554D8"/>
    <w:rsid w:val="00D559BA"/>
    <w:rsid w:val="00D57F80"/>
    <w:rsid w:val="00D60CE1"/>
    <w:rsid w:val="00D62C42"/>
    <w:rsid w:val="00D6454A"/>
    <w:rsid w:val="00D64A31"/>
    <w:rsid w:val="00D65981"/>
    <w:rsid w:val="00D708F0"/>
    <w:rsid w:val="00D71026"/>
    <w:rsid w:val="00D72828"/>
    <w:rsid w:val="00D72F80"/>
    <w:rsid w:val="00D733F2"/>
    <w:rsid w:val="00D75CD7"/>
    <w:rsid w:val="00D76B21"/>
    <w:rsid w:val="00D77379"/>
    <w:rsid w:val="00D77EB7"/>
    <w:rsid w:val="00D80144"/>
    <w:rsid w:val="00D8176E"/>
    <w:rsid w:val="00D81F73"/>
    <w:rsid w:val="00D83418"/>
    <w:rsid w:val="00D83E21"/>
    <w:rsid w:val="00D8418F"/>
    <w:rsid w:val="00D866EE"/>
    <w:rsid w:val="00D86E16"/>
    <w:rsid w:val="00D90D1E"/>
    <w:rsid w:val="00D91993"/>
    <w:rsid w:val="00D926A5"/>
    <w:rsid w:val="00D92FD6"/>
    <w:rsid w:val="00D95211"/>
    <w:rsid w:val="00D9578B"/>
    <w:rsid w:val="00D96871"/>
    <w:rsid w:val="00D97119"/>
    <w:rsid w:val="00D978AC"/>
    <w:rsid w:val="00DA02CD"/>
    <w:rsid w:val="00DA2D0E"/>
    <w:rsid w:val="00DA5001"/>
    <w:rsid w:val="00DA6058"/>
    <w:rsid w:val="00DB03F5"/>
    <w:rsid w:val="00DB047D"/>
    <w:rsid w:val="00DB216D"/>
    <w:rsid w:val="00DB5AA3"/>
    <w:rsid w:val="00DB64C6"/>
    <w:rsid w:val="00DB6580"/>
    <w:rsid w:val="00DB65E1"/>
    <w:rsid w:val="00DC0563"/>
    <w:rsid w:val="00DC078A"/>
    <w:rsid w:val="00DC2AAC"/>
    <w:rsid w:val="00DC4C9E"/>
    <w:rsid w:val="00DC6E4D"/>
    <w:rsid w:val="00DC7FA8"/>
    <w:rsid w:val="00DD1825"/>
    <w:rsid w:val="00DD1F37"/>
    <w:rsid w:val="00DD20E0"/>
    <w:rsid w:val="00DD396A"/>
    <w:rsid w:val="00DD6F58"/>
    <w:rsid w:val="00DD6F84"/>
    <w:rsid w:val="00DE14F3"/>
    <w:rsid w:val="00DE1F09"/>
    <w:rsid w:val="00DE26DF"/>
    <w:rsid w:val="00DE3634"/>
    <w:rsid w:val="00DE459F"/>
    <w:rsid w:val="00DE46F6"/>
    <w:rsid w:val="00DE4867"/>
    <w:rsid w:val="00DE5D43"/>
    <w:rsid w:val="00DE7B94"/>
    <w:rsid w:val="00DE7EA5"/>
    <w:rsid w:val="00DF2E8E"/>
    <w:rsid w:val="00DF314D"/>
    <w:rsid w:val="00DF485D"/>
    <w:rsid w:val="00DF61E7"/>
    <w:rsid w:val="00DF6B8A"/>
    <w:rsid w:val="00DF7FDC"/>
    <w:rsid w:val="00E011F8"/>
    <w:rsid w:val="00E016BA"/>
    <w:rsid w:val="00E02446"/>
    <w:rsid w:val="00E03207"/>
    <w:rsid w:val="00E0328D"/>
    <w:rsid w:val="00E0388C"/>
    <w:rsid w:val="00E03A12"/>
    <w:rsid w:val="00E051E1"/>
    <w:rsid w:val="00E05984"/>
    <w:rsid w:val="00E05F84"/>
    <w:rsid w:val="00E061AA"/>
    <w:rsid w:val="00E100A1"/>
    <w:rsid w:val="00E127B6"/>
    <w:rsid w:val="00E1395E"/>
    <w:rsid w:val="00E15632"/>
    <w:rsid w:val="00E16002"/>
    <w:rsid w:val="00E176F8"/>
    <w:rsid w:val="00E17888"/>
    <w:rsid w:val="00E17B58"/>
    <w:rsid w:val="00E2012C"/>
    <w:rsid w:val="00E20FBD"/>
    <w:rsid w:val="00E210F3"/>
    <w:rsid w:val="00E243D9"/>
    <w:rsid w:val="00E244A3"/>
    <w:rsid w:val="00E25860"/>
    <w:rsid w:val="00E25A71"/>
    <w:rsid w:val="00E2600C"/>
    <w:rsid w:val="00E26B43"/>
    <w:rsid w:val="00E27961"/>
    <w:rsid w:val="00E30948"/>
    <w:rsid w:val="00E3177D"/>
    <w:rsid w:val="00E34955"/>
    <w:rsid w:val="00E3579A"/>
    <w:rsid w:val="00E35C50"/>
    <w:rsid w:val="00E372A1"/>
    <w:rsid w:val="00E37C12"/>
    <w:rsid w:val="00E41EFF"/>
    <w:rsid w:val="00E42AF6"/>
    <w:rsid w:val="00E43817"/>
    <w:rsid w:val="00E4458A"/>
    <w:rsid w:val="00E450A0"/>
    <w:rsid w:val="00E45632"/>
    <w:rsid w:val="00E46682"/>
    <w:rsid w:val="00E46B74"/>
    <w:rsid w:val="00E50180"/>
    <w:rsid w:val="00E5047B"/>
    <w:rsid w:val="00E51A8D"/>
    <w:rsid w:val="00E53F85"/>
    <w:rsid w:val="00E5450D"/>
    <w:rsid w:val="00E54623"/>
    <w:rsid w:val="00E5647F"/>
    <w:rsid w:val="00E5655F"/>
    <w:rsid w:val="00E56D81"/>
    <w:rsid w:val="00E579D1"/>
    <w:rsid w:val="00E57C49"/>
    <w:rsid w:val="00E57FEF"/>
    <w:rsid w:val="00E60651"/>
    <w:rsid w:val="00E62C14"/>
    <w:rsid w:val="00E637B1"/>
    <w:rsid w:val="00E6499F"/>
    <w:rsid w:val="00E6538A"/>
    <w:rsid w:val="00E656E9"/>
    <w:rsid w:val="00E6678F"/>
    <w:rsid w:val="00E67CBB"/>
    <w:rsid w:val="00E70021"/>
    <w:rsid w:val="00E7048C"/>
    <w:rsid w:val="00E71817"/>
    <w:rsid w:val="00E7219E"/>
    <w:rsid w:val="00E72A0A"/>
    <w:rsid w:val="00E74992"/>
    <w:rsid w:val="00E75BD9"/>
    <w:rsid w:val="00E75CF9"/>
    <w:rsid w:val="00E80756"/>
    <w:rsid w:val="00E80D1D"/>
    <w:rsid w:val="00E816A4"/>
    <w:rsid w:val="00E836CE"/>
    <w:rsid w:val="00E85D6A"/>
    <w:rsid w:val="00E86862"/>
    <w:rsid w:val="00E90D7A"/>
    <w:rsid w:val="00E918AA"/>
    <w:rsid w:val="00E9361E"/>
    <w:rsid w:val="00E937F5"/>
    <w:rsid w:val="00E93DDB"/>
    <w:rsid w:val="00E95E1B"/>
    <w:rsid w:val="00EA0C8D"/>
    <w:rsid w:val="00EA0FF1"/>
    <w:rsid w:val="00EA311F"/>
    <w:rsid w:val="00EA3245"/>
    <w:rsid w:val="00EA3CA4"/>
    <w:rsid w:val="00EA5D33"/>
    <w:rsid w:val="00EA6205"/>
    <w:rsid w:val="00EA6A9C"/>
    <w:rsid w:val="00EB06BD"/>
    <w:rsid w:val="00EB0CB2"/>
    <w:rsid w:val="00EB1CC6"/>
    <w:rsid w:val="00EB2B45"/>
    <w:rsid w:val="00EB3DB4"/>
    <w:rsid w:val="00EB3EA5"/>
    <w:rsid w:val="00EB59F5"/>
    <w:rsid w:val="00EB6C10"/>
    <w:rsid w:val="00EB702E"/>
    <w:rsid w:val="00EB7252"/>
    <w:rsid w:val="00EB77A6"/>
    <w:rsid w:val="00EB7948"/>
    <w:rsid w:val="00EC025B"/>
    <w:rsid w:val="00EC07BB"/>
    <w:rsid w:val="00EC0C39"/>
    <w:rsid w:val="00EC353C"/>
    <w:rsid w:val="00EC45AA"/>
    <w:rsid w:val="00EC6A8B"/>
    <w:rsid w:val="00EC7011"/>
    <w:rsid w:val="00ED238F"/>
    <w:rsid w:val="00ED388C"/>
    <w:rsid w:val="00ED4AB1"/>
    <w:rsid w:val="00ED66DE"/>
    <w:rsid w:val="00ED7109"/>
    <w:rsid w:val="00EE1184"/>
    <w:rsid w:val="00EE1B50"/>
    <w:rsid w:val="00EE1BDC"/>
    <w:rsid w:val="00EE29F3"/>
    <w:rsid w:val="00EE2FA1"/>
    <w:rsid w:val="00EE3A22"/>
    <w:rsid w:val="00EE3CC0"/>
    <w:rsid w:val="00EE42B3"/>
    <w:rsid w:val="00EE4A1A"/>
    <w:rsid w:val="00EE4D9E"/>
    <w:rsid w:val="00EE50EC"/>
    <w:rsid w:val="00EE59C1"/>
    <w:rsid w:val="00EE5C4F"/>
    <w:rsid w:val="00EE6DAC"/>
    <w:rsid w:val="00EE7005"/>
    <w:rsid w:val="00EE7387"/>
    <w:rsid w:val="00EF0278"/>
    <w:rsid w:val="00EF070E"/>
    <w:rsid w:val="00EF17F3"/>
    <w:rsid w:val="00EF197A"/>
    <w:rsid w:val="00EF2E74"/>
    <w:rsid w:val="00EF2F3F"/>
    <w:rsid w:val="00EF35E1"/>
    <w:rsid w:val="00EF3E88"/>
    <w:rsid w:val="00EF42DF"/>
    <w:rsid w:val="00EF5C0A"/>
    <w:rsid w:val="00EF6080"/>
    <w:rsid w:val="00EF6412"/>
    <w:rsid w:val="00EF6902"/>
    <w:rsid w:val="00EF7429"/>
    <w:rsid w:val="00F00C21"/>
    <w:rsid w:val="00F015B5"/>
    <w:rsid w:val="00F01819"/>
    <w:rsid w:val="00F01B0B"/>
    <w:rsid w:val="00F02EC1"/>
    <w:rsid w:val="00F046EA"/>
    <w:rsid w:val="00F05FBC"/>
    <w:rsid w:val="00F06140"/>
    <w:rsid w:val="00F06226"/>
    <w:rsid w:val="00F06B39"/>
    <w:rsid w:val="00F07732"/>
    <w:rsid w:val="00F1424F"/>
    <w:rsid w:val="00F169CA"/>
    <w:rsid w:val="00F16BF8"/>
    <w:rsid w:val="00F17455"/>
    <w:rsid w:val="00F17D1F"/>
    <w:rsid w:val="00F203AB"/>
    <w:rsid w:val="00F2046D"/>
    <w:rsid w:val="00F21D58"/>
    <w:rsid w:val="00F22A0B"/>
    <w:rsid w:val="00F24211"/>
    <w:rsid w:val="00F2496D"/>
    <w:rsid w:val="00F24EDC"/>
    <w:rsid w:val="00F26F08"/>
    <w:rsid w:val="00F27BFD"/>
    <w:rsid w:val="00F309B4"/>
    <w:rsid w:val="00F322D7"/>
    <w:rsid w:val="00F3259A"/>
    <w:rsid w:val="00F35246"/>
    <w:rsid w:val="00F37162"/>
    <w:rsid w:val="00F410A8"/>
    <w:rsid w:val="00F4110C"/>
    <w:rsid w:val="00F42367"/>
    <w:rsid w:val="00F44D1C"/>
    <w:rsid w:val="00F47D60"/>
    <w:rsid w:val="00F511DA"/>
    <w:rsid w:val="00F53BA3"/>
    <w:rsid w:val="00F53EAC"/>
    <w:rsid w:val="00F5413A"/>
    <w:rsid w:val="00F56AC5"/>
    <w:rsid w:val="00F57530"/>
    <w:rsid w:val="00F57CBC"/>
    <w:rsid w:val="00F61280"/>
    <w:rsid w:val="00F62AD2"/>
    <w:rsid w:val="00F64B8F"/>
    <w:rsid w:val="00F667CC"/>
    <w:rsid w:val="00F66BFD"/>
    <w:rsid w:val="00F679DF"/>
    <w:rsid w:val="00F707F1"/>
    <w:rsid w:val="00F721C8"/>
    <w:rsid w:val="00F72B66"/>
    <w:rsid w:val="00F73EF6"/>
    <w:rsid w:val="00F74A22"/>
    <w:rsid w:val="00F752F4"/>
    <w:rsid w:val="00F757E5"/>
    <w:rsid w:val="00F80F64"/>
    <w:rsid w:val="00F8144D"/>
    <w:rsid w:val="00F81581"/>
    <w:rsid w:val="00F821BD"/>
    <w:rsid w:val="00F82BDD"/>
    <w:rsid w:val="00F82BDF"/>
    <w:rsid w:val="00F83173"/>
    <w:rsid w:val="00F84912"/>
    <w:rsid w:val="00F85A47"/>
    <w:rsid w:val="00F85E51"/>
    <w:rsid w:val="00F8619B"/>
    <w:rsid w:val="00F86753"/>
    <w:rsid w:val="00F87A7A"/>
    <w:rsid w:val="00F904D1"/>
    <w:rsid w:val="00F91337"/>
    <w:rsid w:val="00F92A41"/>
    <w:rsid w:val="00F92F9B"/>
    <w:rsid w:val="00F953AE"/>
    <w:rsid w:val="00F958B8"/>
    <w:rsid w:val="00F95980"/>
    <w:rsid w:val="00F96C77"/>
    <w:rsid w:val="00F96E95"/>
    <w:rsid w:val="00FA1E89"/>
    <w:rsid w:val="00FA35C8"/>
    <w:rsid w:val="00FB1854"/>
    <w:rsid w:val="00FB3A9F"/>
    <w:rsid w:val="00FB72AC"/>
    <w:rsid w:val="00FC1C5B"/>
    <w:rsid w:val="00FC3344"/>
    <w:rsid w:val="00FC409C"/>
    <w:rsid w:val="00FC6384"/>
    <w:rsid w:val="00FC6A1E"/>
    <w:rsid w:val="00FC7776"/>
    <w:rsid w:val="00FD0267"/>
    <w:rsid w:val="00FD0334"/>
    <w:rsid w:val="00FD0CF7"/>
    <w:rsid w:val="00FD1063"/>
    <w:rsid w:val="00FD4CCD"/>
    <w:rsid w:val="00FE053B"/>
    <w:rsid w:val="00FE1CF5"/>
    <w:rsid w:val="00FE2AF8"/>
    <w:rsid w:val="00FE3BCA"/>
    <w:rsid w:val="00FE3E26"/>
    <w:rsid w:val="00FE5A12"/>
    <w:rsid w:val="00FE749F"/>
    <w:rsid w:val="00FF0CB5"/>
    <w:rsid w:val="00FF1A44"/>
    <w:rsid w:val="00FF3997"/>
    <w:rsid w:val="00FF3FB9"/>
    <w:rsid w:val="00FF415E"/>
    <w:rsid w:val="00FF438D"/>
    <w:rsid w:val="00FF78D7"/>
    <w:rsid w:val="013019FE"/>
    <w:rsid w:val="013D2054"/>
    <w:rsid w:val="017460A8"/>
    <w:rsid w:val="023066C4"/>
    <w:rsid w:val="038F395B"/>
    <w:rsid w:val="03B01411"/>
    <w:rsid w:val="06431DD6"/>
    <w:rsid w:val="064366E8"/>
    <w:rsid w:val="069E76CF"/>
    <w:rsid w:val="07552F18"/>
    <w:rsid w:val="07DC2DF1"/>
    <w:rsid w:val="07FE6132"/>
    <w:rsid w:val="08497AC8"/>
    <w:rsid w:val="086B2549"/>
    <w:rsid w:val="09293338"/>
    <w:rsid w:val="09621C88"/>
    <w:rsid w:val="0A41744B"/>
    <w:rsid w:val="0BE50251"/>
    <w:rsid w:val="0C052061"/>
    <w:rsid w:val="0CCA2C63"/>
    <w:rsid w:val="0FB62D46"/>
    <w:rsid w:val="10254F0A"/>
    <w:rsid w:val="11A85086"/>
    <w:rsid w:val="11DC5D94"/>
    <w:rsid w:val="11F2097D"/>
    <w:rsid w:val="12437483"/>
    <w:rsid w:val="12927D6B"/>
    <w:rsid w:val="12F13D1F"/>
    <w:rsid w:val="12F64B6E"/>
    <w:rsid w:val="130710AB"/>
    <w:rsid w:val="13971349"/>
    <w:rsid w:val="14E82F59"/>
    <w:rsid w:val="14FE0980"/>
    <w:rsid w:val="158030B9"/>
    <w:rsid w:val="16336E32"/>
    <w:rsid w:val="17411E34"/>
    <w:rsid w:val="1773541B"/>
    <w:rsid w:val="19A1077A"/>
    <w:rsid w:val="19D66656"/>
    <w:rsid w:val="1A150112"/>
    <w:rsid w:val="1A20378F"/>
    <w:rsid w:val="1A5443A0"/>
    <w:rsid w:val="1AFD636E"/>
    <w:rsid w:val="1B1D6C4E"/>
    <w:rsid w:val="1B7A1188"/>
    <w:rsid w:val="1BC80EAA"/>
    <w:rsid w:val="1BDC3EA1"/>
    <w:rsid w:val="1C0A3092"/>
    <w:rsid w:val="1C12265E"/>
    <w:rsid w:val="1C7D42CA"/>
    <w:rsid w:val="1D4A3F13"/>
    <w:rsid w:val="1E2E7514"/>
    <w:rsid w:val="1E640543"/>
    <w:rsid w:val="1E754405"/>
    <w:rsid w:val="1F1B2614"/>
    <w:rsid w:val="1F753FA8"/>
    <w:rsid w:val="215C1C4A"/>
    <w:rsid w:val="21814025"/>
    <w:rsid w:val="218E591C"/>
    <w:rsid w:val="221B082C"/>
    <w:rsid w:val="227C6353"/>
    <w:rsid w:val="22E418F0"/>
    <w:rsid w:val="22E771D2"/>
    <w:rsid w:val="22F94B6E"/>
    <w:rsid w:val="235F2314"/>
    <w:rsid w:val="23B21D9E"/>
    <w:rsid w:val="248C3C12"/>
    <w:rsid w:val="24B910BB"/>
    <w:rsid w:val="265832F6"/>
    <w:rsid w:val="266A621F"/>
    <w:rsid w:val="26893AC5"/>
    <w:rsid w:val="272F576D"/>
    <w:rsid w:val="277F117F"/>
    <w:rsid w:val="27FE272D"/>
    <w:rsid w:val="2827226D"/>
    <w:rsid w:val="28840408"/>
    <w:rsid w:val="295F57ED"/>
    <w:rsid w:val="29F665DF"/>
    <w:rsid w:val="2A0B6F8A"/>
    <w:rsid w:val="2A3152DE"/>
    <w:rsid w:val="2A6D37AC"/>
    <w:rsid w:val="2AD56653"/>
    <w:rsid w:val="2B340B2D"/>
    <w:rsid w:val="2C773801"/>
    <w:rsid w:val="2DDE3214"/>
    <w:rsid w:val="2E331558"/>
    <w:rsid w:val="2F397FCB"/>
    <w:rsid w:val="2F862668"/>
    <w:rsid w:val="2FA5723B"/>
    <w:rsid w:val="30424B3B"/>
    <w:rsid w:val="31692C8D"/>
    <w:rsid w:val="31863ECE"/>
    <w:rsid w:val="319B36FC"/>
    <w:rsid w:val="320F111E"/>
    <w:rsid w:val="32EA6BCB"/>
    <w:rsid w:val="336011D5"/>
    <w:rsid w:val="34291F23"/>
    <w:rsid w:val="34346E4D"/>
    <w:rsid w:val="3570296B"/>
    <w:rsid w:val="35895362"/>
    <w:rsid w:val="35D20732"/>
    <w:rsid w:val="35FB40C6"/>
    <w:rsid w:val="36A77D38"/>
    <w:rsid w:val="374302B9"/>
    <w:rsid w:val="374E57F7"/>
    <w:rsid w:val="37737203"/>
    <w:rsid w:val="37F976E5"/>
    <w:rsid w:val="392F0DB2"/>
    <w:rsid w:val="39A1679C"/>
    <w:rsid w:val="3A444596"/>
    <w:rsid w:val="3AAA11CD"/>
    <w:rsid w:val="3ADD2FE6"/>
    <w:rsid w:val="3B712C82"/>
    <w:rsid w:val="3BDF37C8"/>
    <w:rsid w:val="3D045B29"/>
    <w:rsid w:val="3DCA4932"/>
    <w:rsid w:val="3DCD2FF3"/>
    <w:rsid w:val="3E186302"/>
    <w:rsid w:val="3E3F1310"/>
    <w:rsid w:val="3E414576"/>
    <w:rsid w:val="3FA54DF8"/>
    <w:rsid w:val="3FC5312E"/>
    <w:rsid w:val="406B6BFC"/>
    <w:rsid w:val="40A5279C"/>
    <w:rsid w:val="43473F21"/>
    <w:rsid w:val="43B21E62"/>
    <w:rsid w:val="43BB52AD"/>
    <w:rsid w:val="440969C5"/>
    <w:rsid w:val="44AF40F8"/>
    <w:rsid w:val="44EE43A5"/>
    <w:rsid w:val="458338AF"/>
    <w:rsid w:val="46ED145B"/>
    <w:rsid w:val="473B04AA"/>
    <w:rsid w:val="47B705ED"/>
    <w:rsid w:val="485B09F4"/>
    <w:rsid w:val="49031B2A"/>
    <w:rsid w:val="49F153DD"/>
    <w:rsid w:val="4B282EDB"/>
    <w:rsid w:val="4B6E364F"/>
    <w:rsid w:val="4C09274D"/>
    <w:rsid w:val="4E501189"/>
    <w:rsid w:val="509C0D4E"/>
    <w:rsid w:val="51A55442"/>
    <w:rsid w:val="523A6B73"/>
    <w:rsid w:val="55244CC8"/>
    <w:rsid w:val="554064E9"/>
    <w:rsid w:val="55D05DD8"/>
    <w:rsid w:val="563B6830"/>
    <w:rsid w:val="57140BBC"/>
    <w:rsid w:val="57E63F45"/>
    <w:rsid w:val="57FE5EC2"/>
    <w:rsid w:val="595A4BEB"/>
    <w:rsid w:val="5A1D63E7"/>
    <w:rsid w:val="5A561C69"/>
    <w:rsid w:val="5A7D6400"/>
    <w:rsid w:val="5A993540"/>
    <w:rsid w:val="5A9E4253"/>
    <w:rsid w:val="5CA94859"/>
    <w:rsid w:val="5CBC79AD"/>
    <w:rsid w:val="5CC453C1"/>
    <w:rsid w:val="5D102FB2"/>
    <w:rsid w:val="5D7D6310"/>
    <w:rsid w:val="5D9C7622"/>
    <w:rsid w:val="5F081EB3"/>
    <w:rsid w:val="5F2C6AB4"/>
    <w:rsid w:val="5FD31DBF"/>
    <w:rsid w:val="5FFAF3C0"/>
    <w:rsid w:val="60365B77"/>
    <w:rsid w:val="61A62640"/>
    <w:rsid w:val="63164E21"/>
    <w:rsid w:val="632E70AD"/>
    <w:rsid w:val="65450DCB"/>
    <w:rsid w:val="66747D26"/>
    <w:rsid w:val="671745B6"/>
    <w:rsid w:val="672A6586"/>
    <w:rsid w:val="691F09DF"/>
    <w:rsid w:val="69406B9D"/>
    <w:rsid w:val="69D12FAB"/>
    <w:rsid w:val="69DD483F"/>
    <w:rsid w:val="69F52D2F"/>
    <w:rsid w:val="6BEA1734"/>
    <w:rsid w:val="6D7A7229"/>
    <w:rsid w:val="6E6453E0"/>
    <w:rsid w:val="6ECF7B5A"/>
    <w:rsid w:val="6F8A5598"/>
    <w:rsid w:val="719515E7"/>
    <w:rsid w:val="71E25182"/>
    <w:rsid w:val="72503177"/>
    <w:rsid w:val="72525549"/>
    <w:rsid w:val="727F5096"/>
    <w:rsid w:val="72C119B6"/>
    <w:rsid w:val="73D8368D"/>
    <w:rsid w:val="74613566"/>
    <w:rsid w:val="748928BF"/>
    <w:rsid w:val="751E525D"/>
    <w:rsid w:val="75B310A7"/>
    <w:rsid w:val="76B344CD"/>
    <w:rsid w:val="76F8173F"/>
    <w:rsid w:val="7701235F"/>
    <w:rsid w:val="773D09F7"/>
    <w:rsid w:val="77D75529"/>
    <w:rsid w:val="77D956C3"/>
    <w:rsid w:val="7BDE2E46"/>
    <w:rsid w:val="7C4D0EFB"/>
    <w:rsid w:val="7D4777B3"/>
    <w:rsid w:val="7D7747A9"/>
    <w:rsid w:val="7E26070B"/>
    <w:rsid w:val="7FEF8190"/>
    <w:rsid w:val="A7377ACF"/>
    <w:rsid w:val="BF2BC8B1"/>
    <w:rsid w:val="FF7FA6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1"/>
    <w:basedOn w:val="1"/>
    <w:next w:val="1"/>
    <w:link w:val="47"/>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48"/>
    <w:unhideWhenUsed/>
    <w:qFormat/>
    <w:uiPriority w:val="0"/>
    <w:pPr>
      <w:keepNext/>
      <w:keepLines/>
      <w:spacing w:before="260" w:after="260"/>
      <w:outlineLvl w:val="1"/>
    </w:pPr>
    <w:rPr>
      <w:rFonts w:ascii="Arial" w:hAnsi="Arial" w:eastAsia="仿宋_GB2312"/>
      <w:b/>
      <w:bCs/>
      <w:sz w:val="36"/>
      <w:szCs w:val="32"/>
    </w:rPr>
  </w:style>
  <w:style w:type="paragraph" w:styleId="5">
    <w:name w:val="heading 3"/>
    <w:basedOn w:val="1"/>
    <w:next w:val="1"/>
    <w:link w:val="49"/>
    <w:unhideWhenUsed/>
    <w:qFormat/>
    <w:uiPriority w:val="0"/>
    <w:pPr>
      <w:keepNext/>
      <w:keepLines/>
      <w:spacing w:before="260" w:after="260"/>
      <w:outlineLvl w:val="2"/>
    </w:pPr>
    <w:rPr>
      <w:rFonts w:cs="宋体"/>
      <w:b/>
      <w:bCs/>
      <w:sz w:val="28"/>
      <w:szCs w:val="30"/>
    </w:rPr>
  </w:style>
  <w:style w:type="paragraph" w:styleId="6">
    <w:name w:val="heading 4"/>
    <w:basedOn w:val="1"/>
    <w:next w:val="1"/>
    <w:link w:val="50"/>
    <w:unhideWhenUsed/>
    <w:qFormat/>
    <w:uiPriority w:val="0"/>
    <w:pPr>
      <w:keepNext/>
      <w:keepLines/>
      <w:spacing w:before="280" w:after="290" w:line="374" w:lineRule="auto"/>
      <w:ind w:left="864" w:hanging="144" w:firstLineChars="200"/>
      <w:outlineLvl w:val="3"/>
    </w:pPr>
    <w:rPr>
      <w:rFonts w:ascii="Arial" w:hAnsi="Arial" w:eastAsia="黑体"/>
      <w:b/>
      <w:bCs/>
      <w:sz w:val="28"/>
      <w:szCs w:val="28"/>
    </w:rPr>
  </w:style>
  <w:style w:type="paragraph" w:styleId="7">
    <w:name w:val="heading 5"/>
    <w:basedOn w:val="1"/>
    <w:next w:val="1"/>
    <w:link w:val="51"/>
    <w:unhideWhenUsed/>
    <w:qFormat/>
    <w:uiPriority w:val="0"/>
    <w:pPr>
      <w:keepNext/>
      <w:keepLines/>
      <w:spacing w:before="280" w:after="290" w:line="374" w:lineRule="auto"/>
      <w:ind w:left="1008" w:hanging="432" w:firstLineChars="200"/>
      <w:outlineLvl w:val="4"/>
    </w:pPr>
    <w:rPr>
      <w:rFonts w:ascii="Arial" w:hAnsi="Arial" w:eastAsia="仿宋_GB2312"/>
      <w:b/>
      <w:bCs/>
      <w:kern w:val="0"/>
      <w:sz w:val="36"/>
      <w:szCs w:val="32"/>
    </w:rPr>
  </w:style>
  <w:style w:type="paragraph" w:styleId="8">
    <w:name w:val="heading 6"/>
    <w:basedOn w:val="1"/>
    <w:next w:val="9"/>
    <w:link w:val="52"/>
    <w:unhideWhenUsed/>
    <w:qFormat/>
    <w:uiPriority w:val="0"/>
    <w:pPr>
      <w:keepNext/>
      <w:keepLines/>
      <w:spacing w:before="240" w:after="64" w:line="319" w:lineRule="auto"/>
      <w:ind w:left="1152" w:hanging="432" w:firstLineChars="200"/>
      <w:outlineLvl w:val="5"/>
    </w:pPr>
    <w:rPr>
      <w:rFonts w:ascii="Arial" w:hAnsi="Arial" w:eastAsia="黑体"/>
      <w:b/>
      <w:sz w:val="24"/>
      <w:szCs w:val="20"/>
    </w:rPr>
  </w:style>
  <w:style w:type="paragraph" w:styleId="10">
    <w:name w:val="heading 7"/>
    <w:basedOn w:val="1"/>
    <w:next w:val="9"/>
    <w:link w:val="53"/>
    <w:unhideWhenUsed/>
    <w:qFormat/>
    <w:uiPriority w:val="0"/>
    <w:pPr>
      <w:keepNext/>
      <w:keepLines/>
      <w:spacing w:before="240" w:after="64" w:line="319" w:lineRule="auto"/>
      <w:ind w:left="1296" w:hanging="288" w:firstLineChars="200"/>
      <w:outlineLvl w:val="6"/>
    </w:pPr>
    <w:rPr>
      <w:b/>
      <w:sz w:val="24"/>
      <w:szCs w:val="20"/>
    </w:rPr>
  </w:style>
  <w:style w:type="paragraph" w:styleId="11">
    <w:name w:val="heading 8"/>
    <w:basedOn w:val="1"/>
    <w:next w:val="9"/>
    <w:link w:val="54"/>
    <w:unhideWhenUsed/>
    <w:qFormat/>
    <w:uiPriority w:val="0"/>
    <w:pPr>
      <w:keepNext/>
      <w:keepLines/>
      <w:spacing w:before="240" w:after="64" w:line="319" w:lineRule="auto"/>
      <w:ind w:left="1440" w:hanging="432" w:firstLineChars="200"/>
      <w:outlineLvl w:val="7"/>
    </w:pPr>
    <w:rPr>
      <w:rFonts w:ascii="Arial" w:hAnsi="Arial" w:eastAsia="黑体"/>
      <w:sz w:val="24"/>
      <w:szCs w:val="20"/>
    </w:rPr>
  </w:style>
  <w:style w:type="paragraph" w:styleId="12">
    <w:name w:val="heading 9"/>
    <w:basedOn w:val="1"/>
    <w:next w:val="1"/>
    <w:link w:val="55"/>
    <w:unhideWhenUsed/>
    <w:qFormat/>
    <w:uiPriority w:val="0"/>
    <w:pPr>
      <w:keepNext/>
      <w:tabs>
        <w:tab w:val="left" w:pos="630"/>
      </w:tabs>
      <w:spacing w:before="260" w:after="260" w:line="360" w:lineRule="auto"/>
      <w:ind w:left="1584" w:hanging="144" w:firstLineChars="200"/>
      <w:outlineLvl w:val="8"/>
    </w:pPr>
    <w:rPr>
      <w:sz w:val="28"/>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9">
    <w:name w:val="Normal Indent"/>
    <w:basedOn w:val="1"/>
    <w:link w:val="58"/>
    <w:unhideWhenUsed/>
    <w:qFormat/>
    <w:uiPriority w:val="0"/>
    <w:pPr>
      <w:spacing w:before="260" w:after="260" w:line="360" w:lineRule="auto"/>
      <w:ind w:left="142" w:firstLine="420" w:firstLineChars="200"/>
    </w:pPr>
  </w:style>
  <w:style w:type="paragraph" w:styleId="13">
    <w:name w:val="toc 7"/>
    <w:basedOn w:val="1"/>
    <w:next w:val="1"/>
    <w:unhideWhenUsed/>
    <w:qFormat/>
    <w:uiPriority w:val="0"/>
    <w:pPr>
      <w:spacing w:before="260" w:after="260" w:line="360" w:lineRule="auto"/>
      <w:ind w:left="2520" w:leftChars="1200" w:firstLine="200" w:firstLineChars="200"/>
    </w:pPr>
    <w:rPr>
      <w:rFonts w:ascii="Calibri" w:hAnsi="Calibri"/>
      <w:szCs w:val="22"/>
    </w:rPr>
  </w:style>
  <w:style w:type="paragraph" w:styleId="14">
    <w:name w:val="Document Map"/>
    <w:basedOn w:val="1"/>
    <w:link w:val="67"/>
    <w:unhideWhenUsed/>
    <w:qFormat/>
    <w:uiPriority w:val="0"/>
    <w:pPr>
      <w:shd w:val="clear" w:color="auto" w:fill="000080"/>
      <w:spacing w:before="260" w:after="260" w:line="360" w:lineRule="auto"/>
      <w:ind w:left="142" w:firstLine="200" w:firstLineChars="200"/>
    </w:pPr>
  </w:style>
  <w:style w:type="paragraph" w:styleId="15">
    <w:name w:val="annotation text"/>
    <w:basedOn w:val="1"/>
    <w:link w:val="101"/>
    <w:unhideWhenUsed/>
    <w:qFormat/>
    <w:uiPriority w:val="0"/>
    <w:pPr>
      <w:jc w:val="left"/>
    </w:pPr>
  </w:style>
  <w:style w:type="paragraph" w:styleId="16">
    <w:name w:val="Body Text"/>
    <w:basedOn w:val="1"/>
    <w:link w:val="106"/>
    <w:unhideWhenUsed/>
    <w:qFormat/>
    <w:uiPriority w:val="0"/>
    <w:pPr>
      <w:spacing w:line="360" w:lineRule="auto"/>
    </w:pPr>
    <w:rPr>
      <w:rFonts w:ascii="仿宋_GB2312" w:eastAsia="仿宋_GB2312"/>
      <w:color w:val="FF0000"/>
      <w:sz w:val="24"/>
    </w:rPr>
  </w:style>
  <w:style w:type="paragraph" w:styleId="17">
    <w:name w:val="Body Text Indent"/>
    <w:basedOn w:val="1"/>
    <w:link w:val="117"/>
    <w:unhideWhenUsed/>
    <w:qFormat/>
    <w:uiPriority w:val="0"/>
    <w:pPr>
      <w:spacing w:after="120"/>
      <w:ind w:left="420" w:leftChars="200"/>
    </w:pPr>
  </w:style>
  <w:style w:type="paragraph" w:styleId="18">
    <w:name w:val="List 2"/>
    <w:basedOn w:val="1"/>
    <w:qFormat/>
    <w:uiPriority w:val="0"/>
    <w:pPr>
      <w:ind w:left="100" w:leftChars="200" w:hanging="200" w:hangingChars="200"/>
    </w:pPr>
  </w:style>
  <w:style w:type="paragraph" w:styleId="19">
    <w:name w:val="toc 5"/>
    <w:basedOn w:val="1"/>
    <w:next w:val="1"/>
    <w:unhideWhenUsed/>
    <w:qFormat/>
    <w:uiPriority w:val="0"/>
    <w:pPr>
      <w:spacing w:before="260" w:after="260" w:line="360" w:lineRule="auto"/>
      <w:ind w:left="1680" w:leftChars="800" w:firstLine="200" w:firstLineChars="200"/>
    </w:pPr>
    <w:rPr>
      <w:rFonts w:ascii="Calibri" w:hAnsi="Calibri"/>
      <w:szCs w:val="22"/>
    </w:rPr>
  </w:style>
  <w:style w:type="paragraph" w:styleId="20">
    <w:name w:val="toc 3"/>
    <w:basedOn w:val="1"/>
    <w:next w:val="1"/>
    <w:unhideWhenUsed/>
    <w:qFormat/>
    <w:uiPriority w:val="39"/>
    <w:pPr>
      <w:spacing w:before="260" w:after="260" w:line="360" w:lineRule="auto"/>
      <w:ind w:left="420" w:firstLine="200" w:firstLineChars="200"/>
      <w:jc w:val="left"/>
    </w:pPr>
    <w:rPr>
      <w:i/>
      <w:iCs/>
      <w:sz w:val="20"/>
      <w:szCs w:val="20"/>
    </w:rPr>
  </w:style>
  <w:style w:type="paragraph" w:styleId="21">
    <w:name w:val="Plain Text"/>
    <w:basedOn w:val="1"/>
    <w:link w:val="68"/>
    <w:unhideWhenUsed/>
    <w:qFormat/>
    <w:uiPriority w:val="0"/>
    <w:rPr>
      <w:rFonts w:hAnsi="Courier New"/>
      <w:szCs w:val="20"/>
    </w:rPr>
  </w:style>
  <w:style w:type="paragraph" w:styleId="22">
    <w:name w:val="toc 8"/>
    <w:basedOn w:val="1"/>
    <w:next w:val="1"/>
    <w:unhideWhenUsed/>
    <w:qFormat/>
    <w:uiPriority w:val="0"/>
    <w:pPr>
      <w:spacing w:before="260" w:after="260" w:line="360" w:lineRule="auto"/>
      <w:ind w:left="2940" w:leftChars="1400" w:firstLine="200" w:firstLineChars="200"/>
    </w:pPr>
    <w:rPr>
      <w:rFonts w:ascii="Calibri" w:hAnsi="Calibri"/>
      <w:szCs w:val="22"/>
    </w:rPr>
  </w:style>
  <w:style w:type="paragraph" w:styleId="23">
    <w:name w:val="Date"/>
    <w:basedOn w:val="1"/>
    <w:next w:val="1"/>
    <w:link w:val="64"/>
    <w:unhideWhenUsed/>
    <w:qFormat/>
    <w:uiPriority w:val="0"/>
    <w:pPr>
      <w:spacing w:before="260" w:after="260" w:line="360" w:lineRule="auto"/>
      <w:ind w:left="100" w:leftChars="2500" w:firstLine="200" w:firstLineChars="200"/>
    </w:pPr>
  </w:style>
  <w:style w:type="paragraph" w:styleId="24">
    <w:name w:val="Balloon Text"/>
    <w:basedOn w:val="1"/>
    <w:link w:val="71"/>
    <w:unhideWhenUsed/>
    <w:qFormat/>
    <w:uiPriority w:val="0"/>
    <w:pPr>
      <w:spacing w:before="260" w:after="260" w:line="360" w:lineRule="auto"/>
      <w:ind w:left="142" w:firstLine="200" w:firstLineChars="200"/>
    </w:pPr>
    <w:rPr>
      <w:sz w:val="18"/>
      <w:szCs w:val="18"/>
    </w:rPr>
  </w:style>
  <w:style w:type="paragraph" w:styleId="25">
    <w:name w:val="footer"/>
    <w:basedOn w:val="1"/>
    <w:link w:val="100"/>
    <w:unhideWhenUsed/>
    <w:qFormat/>
    <w:uiPriority w:val="0"/>
    <w:pPr>
      <w:tabs>
        <w:tab w:val="center" w:pos="4153"/>
        <w:tab w:val="right" w:pos="8306"/>
      </w:tabs>
      <w:snapToGrid w:val="0"/>
      <w:jc w:val="left"/>
    </w:pPr>
    <w:rPr>
      <w:sz w:val="18"/>
      <w:szCs w:val="18"/>
    </w:rPr>
  </w:style>
  <w:style w:type="paragraph" w:styleId="26">
    <w:name w:val="header"/>
    <w:basedOn w:val="1"/>
    <w:link w:val="61"/>
    <w:unhideWhenUsed/>
    <w:qFormat/>
    <w:uiPriority w:val="99"/>
    <w:pPr>
      <w:pBdr>
        <w:bottom w:val="single" w:color="auto" w:sz="6" w:space="1"/>
      </w:pBdr>
      <w:tabs>
        <w:tab w:val="center" w:pos="4153"/>
        <w:tab w:val="right" w:pos="8306"/>
      </w:tabs>
      <w:snapToGrid w:val="0"/>
      <w:spacing w:before="260" w:after="260" w:line="360" w:lineRule="auto"/>
      <w:ind w:left="142" w:firstLine="360" w:firstLineChars="200"/>
      <w:jc w:val="center"/>
    </w:pPr>
    <w:rPr>
      <w:sz w:val="18"/>
      <w:szCs w:val="18"/>
    </w:rPr>
  </w:style>
  <w:style w:type="paragraph" w:styleId="27">
    <w:name w:val="toc 1"/>
    <w:basedOn w:val="1"/>
    <w:next w:val="1"/>
    <w:unhideWhenUsed/>
    <w:qFormat/>
    <w:uiPriority w:val="39"/>
    <w:pPr>
      <w:tabs>
        <w:tab w:val="right" w:leader="dot" w:pos="9180"/>
      </w:tabs>
      <w:spacing w:before="120" w:after="120" w:line="360" w:lineRule="auto"/>
      <w:ind w:left="142" w:firstLine="196" w:firstLineChars="98"/>
    </w:pPr>
    <w:rPr>
      <w:bCs/>
      <w:caps/>
      <w:kern w:val="0"/>
      <w:sz w:val="20"/>
      <w:szCs w:val="20"/>
    </w:rPr>
  </w:style>
  <w:style w:type="paragraph" w:styleId="28">
    <w:name w:val="toc 4"/>
    <w:basedOn w:val="1"/>
    <w:next w:val="1"/>
    <w:unhideWhenUsed/>
    <w:qFormat/>
    <w:uiPriority w:val="0"/>
    <w:pPr>
      <w:spacing w:before="260" w:after="260" w:line="360" w:lineRule="auto"/>
      <w:ind w:left="1260" w:leftChars="600" w:firstLine="200" w:firstLineChars="200"/>
    </w:pPr>
  </w:style>
  <w:style w:type="paragraph" w:styleId="29">
    <w:name w:val="footnote text"/>
    <w:basedOn w:val="1"/>
    <w:link w:val="59"/>
    <w:unhideWhenUsed/>
    <w:qFormat/>
    <w:uiPriority w:val="99"/>
    <w:pPr>
      <w:snapToGrid w:val="0"/>
      <w:jc w:val="left"/>
    </w:pPr>
    <w:rPr>
      <w:sz w:val="18"/>
      <w:szCs w:val="18"/>
    </w:rPr>
  </w:style>
  <w:style w:type="paragraph" w:styleId="30">
    <w:name w:val="toc 6"/>
    <w:basedOn w:val="1"/>
    <w:next w:val="1"/>
    <w:unhideWhenUsed/>
    <w:qFormat/>
    <w:uiPriority w:val="0"/>
    <w:pPr>
      <w:spacing w:before="260" w:after="260" w:line="360" w:lineRule="auto"/>
      <w:ind w:left="2100" w:leftChars="1000" w:firstLine="200" w:firstLineChars="200"/>
    </w:pPr>
    <w:rPr>
      <w:rFonts w:ascii="Calibri" w:hAnsi="Calibri"/>
      <w:szCs w:val="22"/>
    </w:rPr>
  </w:style>
  <w:style w:type="paragraph" w:styleId="31">
    <w:name w:val="toc 2"/>
    <w:basedOn w:val="1"/>
    <w:next w:val="1"/>
    <w:unhideWhenUsed/>
    <w:qFormat/>
    <w:uiPriority w:val="39"/>
    <w:pPr>
      <w:spacing w:before="260" w:after="260" w:line="360" w:lineRule="auto"/>
      <w:ind w:left="210" w:firstLine="200" w:firstLineChars="200"/>
      <w:jc w:val="left"/>
    </w:pPr>
    <w:rPr>
      <w:smallCaps/>
      <w:sz w:val="20"/>
      <w:szCs w:val="20"/>
    </w:rPr>
  </w:style>
  <w:style w:type="paragraph" w:styleId="32">
    <w:name w:val="toc 9"/>
    <w:basedOn w:val="1"/>
    <w:next w:val="1"/>
    <w:unhideWhenUsed/>
    <w:qFormat/>
    <w:uiPriority w:val="0"/>
    <w:pPr>
      <w:spacing w:before="260" w:after="260" w:line="360" w:lineRule="auto"/>
      <w:ind w:left="3360" w:leftChars="1600" w:firstLine="200" w:firstLineChars="200"/>
    </w:pPr>
    <w:rPr>
      <w:rFonts w:ascii="Calibri" w:hAnsi="Calibri"/>
      <w:szCs w:val="22"/>
    </w:rPr>
  </w:style>
  <w:style w:type="paragraph" w:styleId="33">
    <w:name w:val="HTML Preformatted"/>
    <w:basedOn w:val="1"/>
    <w:link w:val="5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60" w:after="260" w:line="330" w:lineRule="atLeast"/>
      <w:ind w:left="142" w:firstLine="200" w:firstLineChars="200"/>
      <w:jc w:val="left"/>
    </w:pPr>
    <w:rPr>
      <w:rFonts w:ascii="Arial" w:hAnsi="Arial"/>
      <w:kern w:val="0"/>
    </w:rPr>
  </w:style>
  <w:style w:type="paragraph" w:styleId="34">
    <w:name w:val="Normal (Web)"/>
    <w:basedOn w:val="1"/>
    <w:unhideWhenUsed/>
    <w:qFormat/>
    <w:uiPriority w:val="99"/>
    <w:pPr>
      <w:spacing w:line="300" w:lineRule="auto"/>
      <w:ind w:left="142"/>
    </w:pPr>
    <w:rPr>
      <w:sz w:val="24"/>
    </w:rPr>
  </w:style>
  <w:style w:type="paragraph" w:styleId="35">
    <w:name w:val="annotation subject"/>
    <w:basedOn w:val="15"/>
    <w:next w:val="15"/>
    <w:link w:val="70"/>
    <w:unhideWhenUsed/>
    <w:qFormat/>
    <w:uiPriority w:val="0"/>
    <w:pPr>
      <w:spacing w:before="260" w:after="260" w:line="360" w:lineRule="auto"/>
      <w:ind w:left="142" w:firstLine="200" w:firstLineChars="200"/>
    </w:pPr>
    <w:rPr>
      <w:b/>
      <w:bCs/>
    </w:rPr>
  </w:style>
  <w:style w:type="paragraph" w:styleId="36">
    <w:name w:val="Body Text First Indent"/>
    <w:basedOn w:val="16"/>
    <w:link w:val="65"/>
    <w:unhideWhenUsed/>
    <w:qFormat/>
    <w:uiPriority w:val="99"/>
    <w:pPr>
      <w:spacing w:before="260" w:after="120" w:line="240" w:lineRule="auto"/>
      <w:ind w:left="142" w:firstLine="420" w:firstLineChars="100"/>
    </w:pPr>
    <w:rPr>
      <w:rFonts w:eastAsia="幼圆"/>
      <w:sz w:val="21"/>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basedOn w:val="39"/>
    <w:unhideWhenUsed/>
    <w:qFormat/>
    <w:uiPriority w:val="99"/>
    <w:rPr>
      <w:color w:val="800080"/>
      <w:u w:val="single"/>
    </w:rPr>
  </w:style>
  <w:style w:type="character" w:styleId="43">
    <w:name w:val="Hyperlink"/>
    <w:unhideWhenUsed/>
    <w:qFormat/>
    <w:uiPriority w:val="0"/>
    <w:rPr>
      <w:color w:val="0000FF"/>
      <w:u w:val="single"/>
    </w:rPr>
  </w:style>
  <w:style w:type="character" w:styleId="44">
    <w:name w:val="annotation reference"/>
    <w:unhideWhenUsed/>
    <w:qFormat/>
    <w:uiPriority w:val="0"/>
    <w:rPr>
      <w:sz w:val="21"/>
      <w:szCs w:val="21"/>
    </w:rPr>
  </w:style>
  <w:style w:type="character" w:styleId="45">
    <w:name w:val="footnote reference"/>
    <w:unhideWhenUsed/>
    <w:qFormat/>
    <w:uiPriority w:val="99"/>
    <w:rPr>
      <w:vertAlign w:val="superscript"/>
    </w:rPr>
  </w:style>
  <w:style w:type="paragraph" w:customStyle="1" w:styleId="46">
    <w:name w:val="Fließtext"/>
    <w:basedOn w:val="1"/>
    <w:qFormat/>
    <w:uiPriority w:val="0"/>
    <w:pPr>
      <w:overflowPunct w:val="0"/>
      <w:autoSpaceDE w:val="0"/>
      <w:autoSpaceDN w:val="0"/>
      <w:adjustRightInd w:val="0"/>
      <w:textAlignment w:val="baseline"/>
    </w:pPr>
    <w:rPr>
      <w:kern w:val="28"/>
    </w:rPr>
  </w:style>
  <w:style w:type="character" w:customStyle="1" w:styleId="47">
    <w:name w:val="标题 1 字符"/>
    <w:basedOn w:val="39"/>
    <w:link w:val="3"/>
    <w:qFormat/>
    <w:uiPriority w:val="0"/>
    <w:rPr>
      <w:b/>
      <w:bCs/>
      <w:kern w:val="44"/>
      <w:sz w:val="44"/>
      <w:szCs w:val="44"/>
    </w:rPr>
  </w:style>
  <w:style w:type="character" w:customStyle="1" w:styleId="48">
    <w:name w:val="标题 2 字符"/>
    <w:basedOn w:val="39"/>
    <w:link w:val="4"/>
    <w:qFormat/>
    <w:uiPriority w:val="0"/>
    <w:rPr>
      <w:rFonts w:ascii="Arial" w:hAnsi="Arial" w:eastAsia="仿宋_GB2312"/>
      <w:b/>
      <w:bCs/>
      <w:kern w:val="2"/>
      <w:sz w:val="36"/>
      <w:szCs w:val="32"/>
    </w:rPr>
  </w:style>
  <w:style w:type="character" w:customStyle="1" w:styleId="49">
    <w:name w:val="标题 3 字符"/>
    <w:basedOn w:val="39"/>
    <w:link w:val="5"/>
    <w:qFormat/>
    <w:uiPriority w:val="0"/>
    <w:rPr>
      <w:rFonts w:ascii="宋体" w:cs="宋体"/>
      <w:b/>
      <w:bCs/>
      <w:kern w:val="2"/>
      <w:sz w:val="28"/>
      <w:szCs w:val="30"/>
    </w:rPr>
  </w:style>
  <w:style w:type="character" w:customStyle="1" w:styleId="50">
    <w:name w:val="标题 4 字符"/>
    <w:basedOn w:val="39"/>
    <w:link w:val="6"/>
    <w:qFormat/>
    <w:uiPriority w:val="0"/>
    <w:rPr>
      <w:rFonts w:ascii="Arial" w:hAnsi="Arial" w:eastAsia="黑体"/>
      <w:b/>
      <w:bCs/>
      <w:kern w:val="2"/>
      <w:sz w:val="28"/>
      <w:szCs w:val="28"/>
    </w:rPr>
  </w:style>
  <w:style w:type="character" w:customStyle="1" w:styleId="51">
    <w:name w:val="标题 5 字符"/>
    <w:basedOn w:val="39"/>
    <w:link w:val="7"/>
    <w:qFormat/>
    <w:uiPriority w:val="0"/>
    <w:rPr>
      <w:rFonts w:ascii="Arial" w:hAnsi="Arial" w:eastAsia="仿宋_GB2312"/>
      <w:b/>
      <w:bCs/>
      <w:sz w:val="36"/>
      <w:szCs w:val="32"/>
    </w:rPr>
  </w:style>
  <w:style w:type="character" w:customStyle="1" w:styleId="52">
    <w:name w:val="标题 6 字符"/>
    <w:basedOn w:val="39"/>
    <w:link w:val="8"/>
    <w:qFormat/>
    <w:uiPriority w:val="0"/>
    <w:rPr>
      <w:rFonts w:ascii="Arial" w:hAnsi="Arial" w:eastAsia="黑体"/>
      <w:b/>
      <w:kern w:val="2"/>
      <w:sz w:val="24"/>
    </w:rPr>
  </w:style>
  <w:style w:type="character" w:customStyle="1" w:styleId="53">
    <w:name w:val="标题 7 字符"/>
    <w:basedOn w:val="39"/>
    <w:link w:val="10"/>
    <w:qFormat/>
    <w:uiPriority w:val="0"/>
    <w:rPr>
      <w:b/>
      <w:kern w:val="2"/>
      <w:sz w:val="24"/>
    </w:rPr>
  </w:style>
  <w:style w:type="character" w:customStyle="1" w:styleId="54">
    <w:name w:val="标题 8 字符"/>
    <w:basedOn w:val="39"/>
    <w:link w:val="11"/>
    <w:qFormat/>
    <w:uiPriority w:val="0"/>
    <w:rPr>
      <w:rFonts w:ascii="Arial" w:hAnsi="Arial" w:eastAsia="黑体"/>
      <w:kern w:val="2"/>
      <w:sz w:val="24"/>
    </w:rPr>
  </w:style>
  <w:style w:type="character" w:customStyle="1" w:styleId="55">
    <w:name w:val="标题 9 字符"/>
    <w:basedOn w:val="39"/>
    <w:link w:val="12"/>
    <w:qFormat/>
    <w:uiPriority w:val="0"/>
    <w:rPr>
      <w:kern w:val="2"/>
      <w:sz w:val="28"/>
    </w:rPr>
  </w:style>
  <w:style w:type="character" w:customStyle="1" w:styleId="56">
    <w:name w:val="标题 2 Char1"/>
    <w:basedOn w:val="39"/>
    <w:semiHidden/>
    <w:qFormat/>
    <w:uiPriority w:val="0"/>
    <w:rPr>
      <w:rFonts w:ascii="Cambria" w:hAnsi="Cambria" w:eastAsia="宋体" w:cs="Times New Roman"/>
      <w:b/>
      <w:bCs/>
      <w:kern w:val="2"/>
      <w:sz w:val="32"/>
      <w:szCs w:val="32"/>
    </w:rPr>
  </w:style>
  <w:style w:type="character" w:customStyle="1" w:styleId="57">
    <w:name w:val="HTML 预设格式 字符"/>
    <w:basedOn w:val="39"/>
    <w:link w:val="33"/>
    <w:qFormat/>
    <w:uiPriority w:val="0"/>
    <w:rPr>
      <w:rFonts w:ascii="Arial" w:hAnsi="Arial"/>
      <w:sz w:val="21"/>
      <w:szCs w:val="21"/>
    </w:rPr>
  </w:style>
  <w:style w:type="character" w:customStyle="1" w:styleId="58">
    <w:name w:val="正文缩进 字符"/>
    <w:link w:val="9"/>
    <w:qFormat/>
    <w:locked/>
    <w:uiPriority w:val="0"/>
    <w:rPr>
      <w:kern w:val="2"/>
      <w:sz w:val="21"/>
      <w:szCs w:val="24"/>
    </w:rPr>
  </w:style>
  <w:style w:type="character" w:customStyle="1" w:styleId="59">
    <w:name w:val="脚注文本 字符"/>
    <w:basedOn w:val="39"/>
    <w:link w:val="29"/>
    <w:qFormat/>
    <w:uiPriority w:val="99"/>
    <w:rPr>
      <w:kern w:val="2"/>
      <w:sz w:val="18"/>
      <w:szCs w:val="18"/>
    </w:rPr>
  </w:style>
  <w:style w:type="character" w:customStyle="1" w:styleId="60">
    <w:name w:val="批注文字 Char"/>
    <w:basedOn w:val="39"/>
    <w:qFormat/>
    <w:uiPriority w:val="0"/>
    <w:rPr>
      <w:kern w:val="2"/>
      <w:sz w:val="21"/>
      <w:szCs w:val="24"/>
    </w:rPr>
  </w:style>
  <w:style w:type="character" w:customStyle="1" w:styleId="61">
    <w:name w:val="页眉 字符"/>
    <w:basedOn w:val="39"/>
    <w:link w:val="26"/>
    <w:qFormat/>
    <w:uiPriority w:val="99"/>
    <w:rPr>
      <w:kern w:val="2"/>
      <w:sz w:val="18"/>
      <w:szCs w:val="18"/>
    </w:rPr>
  </w:style>
  <w:style w:type="character" w:customStyle="1" w:styleId="62">
    <w:name w:val="页脚 Char"/>
    <w:basedOn w:val="39"/>
    <w:qFormat/>
    <w:uiPriority w:val="99"/>
    <w:rPr>
      <w:kern w:val="2"/>
      <w:sz w:val="18"/>
      <w:szCs w:val="18"/>
    </w:rPr>
  </w:style>
  <w:style w:type="character" w:customStyle="1" w:styleId="63">
    <w:name w:val="正文文本 Char"/>
    <w:basedOn w:val="39"/>
    <w:qFormat/>
    <w:uiPriority w:val="0"/>
    <w:rPr>
      <w:kern w:val="2"/>
      <w:sz w:val="21"/>
      <w:szCs w:val="24"/>
    </w:rPr>
  </w:style>
  <w:style w:type="character" w:customStyle="1" w:styleId="64">
    <w:name w:val="日期 字符"/>
    <w:basedOn w:val="39"/>
    <w:link w:val="23"/>
    <w:qFormat/>
    <w:uiPriority w:val="0"/>
    <w:rPr>
      <w:kern w:val="2"/>
      <w:sz w:val="21"/>
      <w:szCs w:val="24"/>
    </w:rPr>
  </w:style>
  <w:style w:type="character" w:customStyle="1" w:styleId="65">
    <w:name w:val="正文文本首行缩进 字符"/>
    <w:basedOn w:val="63"/>
    <w:link w:val="36"/>
    <w:qFormat/>
    <w:locked/>
    <w:uiPriority w:val="99"/>
    <w:rPr>
      <w:rFonts w:ascii="仿宋_GB2312" w:hAnsi="宋体" w:eastAsia="幼圆"/>
      <w:color w:val="FF0000"/>
      <w:kern w:val="2"/>
      <w:sz w:val="21"/>
      <w:szCs w:val="24"/>
    </w:rPr>
  </w:style>
  <w:style w:type="character" w:customStyle="1" w:styleId="66">
    <w:name w:val="正文首行缩进 Char1"/>
    <w:basedOn w:val="63"/>
    <w:qFormat/>
    <w:uiPriority w:val="99"/>
    <w:rPr>
      <w:kern w:val="2"/>
      <w:sz w:val="21"/>
      <w:szCs w:val="24"/>
    </w:rPr>
  </w:style>
  <w:style w:type="character" w:customStyle="1" w:styleId="67">
    <w:name w:val="文档结构图 字符"/>
    <w:basedOn w:val="39"/>
    <w:link w:val="14"/>
    <w:qFormat/>
    <w:uiPriority w:val="0"/>
    <w:rPr>
      <w:kern w:val="2"/>
      <w:sz w:val="21"/>
      <w:szCs w:val="24"/>
      <w:shd w:val="clear" w:color="auto" w:fill="000080"/>
    </w:rPr>
  </w:style>
  <w:style w:type="character" w:customStyle="1" w:styleId="68">
    <w:name w:val="纯文本 字符"/>
    <w:basedOn w:val="39"/>
    <w:link w:val="21"/>
    <w:qFormat/>
    <w:locked/>
    <w:uiPriority w:val="0"/>
    <w:rPr>
      <w:rFonts w:ascii="宋体" w:hAnsi="Courier New"/>
      <w:kern w:val="2"/>
      <w:sz w:val="21"/>
    </w:rPr>
  </w:style>
  <w:style w:type="character" w:customStyle="1" w:styleId="69">
    <w:name w:val="纯文本 Char1"/>
    <w:basedOn w:val="39"/>
    <w:qFormat/>
    <w:uiPriority w:val="0"/>
    <w:rPr>
      <w:rFonts w:ascii="宋体" w:hAnsi="Courier New" w:cs="Courier New"/>
      <w:kern w:val="2"/>
      <w:sz w:val="21"/>
      <w:szCs w:val="21"/>
    </w:rPr>
  </w:style>
  <w:style w:type="character" w:customStyle="1" w:styleId="70">
    <w:name w:val="批注主题 字符"/>
    <w:basedOn w:val="60"/>
    <w:link w:val="35"/>
    <w:qFormat/>
    <w:uiPriority w:val="0"/>
    <w:rPr>
      <w:b/>
      <w:bCs/>
      <w:kern w:val="2"/>
      <w:sz w:val="21"/>
      <w:szCs w:val="24"/>
    </w:rPr>
  </w:style>
  <w:style w:type="character" w:customStyle="1" w:styleId="71">
    <w:name w:val="批注框文本 字符"/>
    <w:basedOn w:val="39"/>
    <w:link w:val="24"/>
    <w:qFormat/>
    <w:uiPriority w:val="0"/>
    <w:rPr>
      <w:kern w:val="2"/>
      <w:sz w:val="18"/>
      <w:szCs w:val="18"/>
    </w:rPr>
  </w:style>
  <w:style w:type="character" w:customStyle="1" w:styleId="72">
    <w:name w:val="无间隔 Char"/>
    <w:link w:val="73"/>
    <w:qFormat/>
    <w:locked/>
    <w:uiPriority w:val="1"/>
    <w:rPr>
      <w:rFonts w:ascii="Calibri" w:hAnsi="Calibri"/>
      <w:sz w:val="22"/>
      <w:szCs w:val="22"/>
      <w:lang w:val="en-US" w:eastAsia="zh-CN" w:bidi="ar-SA"/>
    </w:rPr>
  </w:style>
  <w:style w:type="paragraph" w:customStyle="1" w:styleId="73">
    <w:name w:val="无间隔1"/>
    <w:link w:val="72"/>
    <w:qFormat/>
    <w:uiPriority w:val="1"/>
    <w:pPr>
      <w:spacing w:before="260" w:after="260" w:line="360" w:lineRule="auto"/>
      <w:ind w:left="142" w:firstLine="200" w:firstLineChars="200"/>
      <w:jc w:val="center"/>
    </w:pPr>
    <w:rPr>
      <w:rFonts w:ascii="Calibri" w:hAnsi="Calibri" w:eastAsia="宋体" w:cs="Arial"/>
      <w:kern w:val="2"/>
      <w:sz w:val="22"/>
      <w:szCs w:val="22"/>
      <w:lang w:val="en-US" w:eastAsia="zh-CN" w:bidi="ar-SA"/>
    </w:rPr>
  </w:style>
  <w:style w:type="paragraph" w:customStyle="1" w:styleId="74">
    <w:name w:val="列出段落1"/>
    <w:basedOn w:val="1"/>
    <w:qFormat/>
    <w:uiPriority w:val="34"/>
    <w:pPr>
      <w:spacing w:before="260" w:after="260" w:line="360" w:lineRule="auto"/>
      <w:ind w:left="142" w:firstLine="420" w:firstLineChars="200"/>
    </w:pPr>
    <w:rPr>
      <w:rFonts w:ascii="Calibri" w:hAnsi="Calibri"/>
      <w:szCs w:val="22"/>
    </w:rPr>
  </w:style>
  <w:style w:type="paragraph" w:customStyle="1" w:styleId="7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76">
    <w:name w:val="样式 标题 2 + 首行缩进:  2 字符"/>
    <w:basedOn w:val="4"/>
    <w:qFormat/>
    <w:uiPriority w:val="0"/>
    <w:pPr>
      <w:ind w:firstLine="723" w:firstLineChars="200"/>
    </w:pPr>
    <w:rPr>
      <w:rFonts w:cs="宋体"/>
      <w:szCs w:val="20"/>
    </w:rPr>
  </w:style>
  <w:style w:type="paragraph" w:customStyle="1" w:styleId="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无间隔111"/>
    <w:qFormat/>
    <w:uiPriority w:val="0"/>
    <w:pPr>
      <w:widowControl w:val="0"/>
      <w:spacing w:before="260" w:after="260" w:line="360" w:lineRule="auto"/>
      <w:ind w:left="142" w:firstLine="200" w:firstLineChars="200"/>
      <w:jc w:val="both"/>
    </w:pPr>
    <w:rPr>
      <w:rFonts w:ascii="Calibri" w:hAnsi="Calibri" w:eastAsia="宋体" w:cs="Arial"/>
      <w:kern w:val="2"/>
      <w:sz w:val="21"/>
      <w:szCs w:val="22"/>
      <w:lang w:val="en-US" w:eastAsia="zh-CN" w:bidi="ar-SA"/>
    </w:rPr>
  </w:style>
  <w:style w:type="paragraph" w:customStyle="1" w:styleId="79">
    <w:name w:val="普通(Web)1"/>
    <w:basedOn w:val="1"/>
    <w:qFormat/>
    <w:uiPriority w:val="0"/>
    <w:pPr>
      <w:widowControl/>
      <w:spacing w:before="260" w:after="260" w:line="432" w:lineRule="auto"/>
      <w:ind w:left="142" w:firstLine="200" w:firstLineChars="200"/>
      <w:jc w:val="left"/>
    </w:pPr>
    <w:rPr>
      <w:rFonts w:cs="宋体"/>
      <w:kern w:val="0"/>
      <w:sz w:val="24"/>
    </w:rPr>
  </w:style>
  <w:style w:type="paragraph" w:customStyle="1" w:styleId="80">
    <w:name w:val="product_spec1"/>
    <w:basedOn w:val="1"/>
    <w:qFormat/>
    <w:uiPriority w:val="0"/>
    <w:pPr>
      <w:widowControl/>
      <w:spacing w:before="100" w:beforeAutospacing="1" w:after="100" w:afterAutospacing="1" w:line="360" w:lineRule="auto"/>
      <w:ind w:left="142" w:firstLine="200" w:firstLineChars="200"/>
      <w:jc w:val="left"/>
    </w:pPr>
    <w:rPr>
      <w:rFonts w:cs="宋体"/>
      <w:kern w:val="0"/>
      <w:sz w:val="24"/>
    </w:rPr>
  </w:style>
  <w:style w:type="paragraph" w:customStyle="1" w:styleId="81">
    <w:name w:val="Char Char Char Char Char Char Char Char Char Char Char Char Char"/>
    <w:basedOn w:val="1"/>
    <w:qFormat/>
    <w:uiPriority w:val="0"/>
    <w:pPr>
      <w:widowControl/>
      <w:tabs>
        <w:tab w:val="left" w:pos="360"/>
      </w:tabs>
      <w:spacing w:after="160" w:line="240" w:lineRule="exact"/>
      <w:jc w:val="left"/>
    </w:pPr>
    <w:rPr>
      <w:rFonts w:ascii="Verdana" w:hAnsi="Verdana"/>
      <w:kern w:val="0"/>
      <w:sz w:val="20"/>
      <w:szCs w:val="20"/>
      <w:lang w:eastAsia="en-US"/>
    </w:rPr>
  </w:style>
  <w:style w:type="character" w:customStyle="1" w:styleId="82">
    <w:name w:val="F正文 Char1"/>
    <w:link w:val="83"/>
    <w:qFormat/>
    <w:locked/>
    <w:uiPriority w:val="0"/>
    <w:rPr>
      <w:rFonts w:ascii="微软雅黑" w:hAnsi="微软雅黑" w:eastAsia="微软雅黑"/>
      <w:bCs/>
      <w:kern w:val="2"/>
      <w:sz w:val="21"/>
      <w:szCs w:val="21"/>
    </w:rPr>
  </w:style>
  <w:style w:type="paragraph" w:customStyle="1" w:styleId="83">
    <w:name w:val="F正文"/>
    <w:basedOn w:val="1"/>
    <w:link w:val="82"/>
    <w:qFormat/>
    <w:uiPriority w:val="0"/>
    <w:pPr>
      <w:tabs>
        <w:tab w:val="left" w:pos="0"/>
        <w:tab w:val="left" w:pos="630"/>
      </w:tabs>
      <w:spacing w:before="260" w:after="260" w:line="360" w:lineRule="auto"/>
      <w:ind w:left="142" w:firstLine="420" w:firstLineChars="200"/>
      <w:jc w:val="left"/>
    </w:pPr>
    <w:rPr>
      <w:rFonts w:ascii="微软雅黑" w:hAnsi="微软雅黑" w:eastAsia="微软雅黑"/>
      <w:bCs/>
    </w:rPr>
  </w:style>
  <w:style w:type="paragraph" w:customStyle="1" w:styleId="84">
    <w:name w:val="Char Char Char Char"/>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85">
    <w:name w:val="样式 样式 样式 样式 首行缩进:  2 字符 + 首行缩进:  2 字符 + 左侧:  12.71 厘米 + 首行缩进:  2..."/>
    <w:basedOn w:val="1"/>
    <w:qFormat/>
    <w:uiPriority w:val="0"/>
    <w:pPr>
      <w:widowControl/>
      <w:spacing w:before="260" w:after="260" w:line="360" w:lineRule="auto"/>
      <w:ind w:left="142" w:firstLine="422" w:firstLineChars="200"/>
    </w:pPr>
    <w:rPr>
      <w:b/>
    </w:rPr>
  </w:style>
  <w:style w:type="paragraph" w:customStyle="1" w:styleId="86">
    <w:name w:val="样式3"/>
    <w:basedOn w:val="21"/>
    <w:qFormat/>
    <w:uiPriority w:val="0"/>
    <w:pPr>
      <w:spacing w:line="0" w:lineRule="atLeast"/>
      <w:ind w:left="142"/>
      <w:outlineLvl w:val="0"/>
    </w:pPr>
    <w:rPr>
      <w:sz w:val="28"/>
    </w:rPr>
  </w:style>
  <w:style w:type="paragraph" w:customStyle="1" w:styleId="87">
    <w:name w:val="Char1 Char Char Char Char Char Char Char Char1 Char Char"/>
    <w:basedOn w:val="1"/>
    <w:qFormat/>
    <w:uiPriority w:val="99"/>
    <w:pPr>
      <w:ind w:left="142"/>
    </w:pPr>
    <w:rPr>
      <w:b/>
      <w:bCs/>
      <w:sz w:val="36"/>
      <w:szCs w:val="32"/>
    </w:rPr>
  </w:style>
  <w:style w:type="paragraph" w:customStyle="1" w:styleId="88">
    <w:name w:val="样式2"/>
    <w:basedOn w:val="1"/>
    <w:qFormat/>
    <w:uiPriority w:val="0"/>
    <w:pPr>
      <w:numPr>
        <w:ilvl w:val="0"/>
        <w:numId w:val="1"/>
      </w:numPr>
      <w:spacing w:line="360" w:lineRule="auto"/>
    </w:pPr>
    <w:rPr>
      <w:szCs w:val="20"/>
    </w:rPr>
  </w:style>
  <w:style w:type="paragraph" w:customStyle="1" w:styleId="89">
    <w:name w:val="1"/>
    <w:basedOn w:val="1"/>
    <w:qFormat/>
    <w:uiPriority w:val="0"/>
    <w:pPr>
      <w:widowControl/>
      <w:spacing w:before="400" w:after="400" w:line="240" w:lineRule="exact"/>
      <w:jc w:val="center"/>
    </w:pPr>
    <w:rPr>
      <w:rFonts w:ascii="Verdana" w:hAnsi="Verdana" w:eastAsiaTheme="minorEastAsia"/>
      <w:b/>
      <w:iCs/>
      <w:color w:val="000000"/>
      <w:kern w:val="0"/>
      <w:sz w:val="24"/>
      <w:szCs w:val="20"/>
      <w:lang w:eastAsia="en-US"/>
    </w:rPr>
  </w:style>
  <w:style w:type="paragraph" w:customStyle="1" w:styleId="90">
    <w:name w:val="无间隔11"/>
    <w:qFormat/>
    <w:uiPriority w:val="0"/>
    <w:pPr>
      <w:widowControl w:val="0"/>
      <w:jc w:val="both"/>
    </w:pPr>
    <w:rPr>
      <w:rFonts w:ascii="Calibri" w:hAnsi="Calibri" w:eastAsia="宋体" w:cs="Arial"/>
      <w:kern w:val="2"/>
      <w:sz w:val="21"/>
      <w:szCs w:val="22"/>
      <w:lang w:val="en-US" w:eastAsia="zh-CN" w:bidi="ar-SA"/>
    </w:rPr>
  </w:style>
  <w:style w:type="paragraph" w:customStyle="1" w:styleId="91">
    <w:name w:val="样式 正文缩进 + 段前: 0.1 行 段后: 0.1 行"/>
    <w:basedOn w:val="9"/>
    <w:qFormat/>
    <w:uiPriority w:val="0"/>
    <w:pPr>
      <w:adjustRightInd w:val="0"/>
      <w:spacing w:beforeLines="50" w:after="0" w:line="300" w:lineRule="auto"/>
      <w:ind w:firstLine="200"/>
      <w:jc w:val="left"/>
    </w:pPr>
    <w:rPr>
      <w:rFonts w:cs="宋体"/>
      <w:kern w:val="0"/>
      <w:sz w:val="24"/>
      <w:szCs w:val="20"/>
    </w:rPr>
  </w:style>
  <w:style w:type="paragraph" w:customStyle="1" w:styleId="92">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9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kern w:val="0"/>
      <w:sz w:val="20"/>
      <w:szCs w:val="20"/>
    </w:rPr>
  </w:style>
  <w:style w:type="paragraph" w:customStyle="1" w:styleId="9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宋体"/>
      <w:kern w:val="0"/>
      <w:sz w:val="20"/>
      <w:szCs w:val="20"/>
    </w:rPr>
  </w:style>
  <w:style w:type="paragraph" w:customStyle="1" w:styleId="98">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99">
    <w:name w:val="ordinary-output"/>
    <w:basedOn w:val="1"/>
    <w:qFormat/>
    <w:uiPriority w:val="0"/>
    <w:pPr>
      <w:widowControl/>
      <w:spacing w:before="100" w:beforeAutospacing="1" w:after="63" w:line="275" w:lineRule="atLeast"/>
      <w:jc w:val="left"/>
    </w:pPr>
    <w:rPr>
      <w:rFonts w:cs="宋体"/>
      <w:color w:val="333333"/>
      <w:kern w:val="0"/>
      <w:sz w:val="23"/>
      <w:szCs w:val="23"/>
    </w:rPr>
  </w:style>
  <w:style w:type="character" w:customStyle="1" w:styleId="100">
    <w:name w:val="页脚 字符"/>
    <w:basedOn w:val="39"/>
    <w:link w:val="25"/>
    <w:qFormat/>
    <w:locked/>
    <w:uiPriority w:val="0"/>
    <w:rPr>
      <w:kern w:val="2"/>
      <w:sz w:val="18"/>
      <w:szCs w:val="18"/>
    </w:rPr>
  </w:style>
  <w:style w:type="character" w:customStyle="1" w:styleId="101">
    <w:name w:val="批注文字 字符"/>
    <w:link w:val="15"/>
    <w:qFormat/>
    <w:locked/>
    <w:uiPriority w:val="0"/>
    <w:rPr>
      <w:kern w:val="2"/>
      <w:sz w:val="21"/>
      <w:szCs w:val="24"/>
    </w:rPr>
  </w:style>
  <w:style w:type="paragraph" w:customStyle="1" w:styleId="102">
    <w:name w:val="z-窗体底端1"/>
    <w:basedOn w:val="1"/>
    <w:next w:val="1"/>
    <w:link w:val="103"/>
    <w:unhideWhenUsed/>
    <w:qFormat/>
    <w:uiPriority w:val="0"/>
    <w:pPr>
      <w:pBdr>
        <w:top w:val="single" w:color="auto" w:sz="6" w:space="1"/>
      </w:pBdr>
      <w:jc w:val="center"/>
    </w:pPr>
    <w:rPr>
      <w:rFonts w:ascii="Arial" w:hAnsi="Arial"/>
      <w:vanish/>
      <w:sz w:val="16"/>
      <w:szCs w:val="16"/>
    </w:rPr>
  </w:style>
  <w:style w:type="character" w:customStyle="1" w:styleId="103">
    <w:name w:val="z-窗体底端 Char"/>
    <w:basedOn w:val="39"/>
    <w:link w:val="102"/>
    <w:qFormat/>
    <w:uiPriority w:val="0"/>
    <w:rPr>
      <w:rFonts w:ascii="Arial" w:hAnsi="Arial" w:cs="Arial"/>
      <w:vanish/>
      <w:kern w:val="2"/>
      <w:sz w:val="16"/>
      <w:szCs w:val="16"/>
    </w:rPr>
  </w:style>
  <w:style w:type="paragraph" w:customStyle="1" w:styleId="104">
    <w:name w:val="z-窗体顶端1"/>
    <w:basedOn w:val="1"/>
    <w:next w:val="1"/>
    <w:link w:val="105"/>
    <w:unhideWhenUsed/>
    <w:qFormat/>
    <w:uiPriority w:val="0"/>
    <w:pPr>
      <w:pBdr>
        <w:bottom w:val="single" w:color="auto" w:sz="6" w:space="1"/>
      </w:pBdr>
      <w:jc w:val="center"/>
    </w:pPr>
    <w:rPr>
      <w:rFonts w:ascii="Arial" w:hAnsi="Arial"/>
      <w:vanish/>
      <w:sz w:val="16"/>
      <w:szCs w:val="16"/>
    </w:rPr>
  </w:style>
  <w:style w:type="character" w:customStyle="1" w:styleId="105">
    <w:name w:val="z-窗体顶端 Char"/>
    <w:basedOn w:val="39"/>
    <w:link w:val="104"/>
    <w:qFormat/>
    <w:uiPriority w:val="0"/>
    <w:rPr>
      <w:rFonts w:ascii="Arial" w:hAnsi="Arial" w:cs="Arial"/>
      <w:vanish/>
      <w:kern w:val="2"/>
      <w:sz w:val="16"/>
      <w:szCs w:val="16"/>
    </w:rPr>
  </w:style>
  <w:style w:type="character" w:customStyle="1" w:styleId="106">
    <w:name w:val="正文文本 字符"/>
    <w:link w:val="16"/>
    <w:qFormat/>
    <w:locked/>
    <w:uiPriority w:val="0"/>
    <w:rPr>
      <w:rFonts w:ascii="仿宋_GB2312" w:hAnsi="宋体" w:eastAsia="仿宋_GB2312"/>
      <w:color w:val="FF0000"/>
      <w:kern w:val="2"/>
      <w:sz w:val="24"/>
      <w:szCs w:val="24"/>
    </w:rPr>
  </w:style>
  <w:style w:type="character" w:customStyle="1" w:styleId="107">
    <w:name w:val="Char Char1"/>
    <w:qFormat/>
    <w:uiPriority w:val="0"/>
    <w:rPr>
      <w:rFonts w:hint="default" w:ascii="Arial" w:hAnsi="Arial" w:eastAsia="仿宋_GB2312" w:cs="Times New Roman"/>
      <w:b/>
      <w:bCs/>
      <w:sz w:val="36"/>
      <w:szCs w:val="32"/>
    </w:rPr>
  </w:style>
  <w:style w:type="character" w:customStyle="1" w:styleId="108">
    <w:name w:val="w"/>
    <w:basedOn w:val="39"/>
    <w:qFormat/>
    <w:uiPriority w:val="0"/>
  </w:style>
  <w:style w:type="character" w:customStyle="1" w:styleId="109">
    <w:name w:val="edited2"/>
    <w:basedOn w:val="39"/>
    <w:qFormat/>
    <w:uiPriority w:val="0"/>
  </w:style>
  <w:style w:type="paragraph" w:customStyle="1" w:styleId="110">
    <w:name w:val="Char1"/>
    <w:basedOn w:val="1"/>
    <w:qFormat/>
    <w:uiPriority w:val="0"/>
    <w:pPr>
      <w:widowControl/>
      <w:spacing w:before="260" w:after="160" w:line="240" w:lineRule="exact"/>
      <w:ind w:left="142" w:firstLine="200" w:firstLineChars="200"/>
      <w:jc w:val="left"/>
    </w:pPr>
    <w:rPr>
      <w:rFonts w:ascii="Verdana" w:hAnsi="Verdana"/>
      <w:kern w:val="0"/>
      <w:sz w:val="20"/>
      <w:szCs w:val="20"/>
      <w:lang w:eastAsia="en-US"/>
    </w:rPr>
  </w:style>
  <w:style w:type="paragraph" w:customStyle="1" w:styleId="111">
    <w:name w:val="Char Char Char Char Char Char Char Char Char Char Char Char Char1"/>
    <w:basedOn w:val="1"/>
    <w:qFormat/>
    <w:uiPriority w:val="0"/>
    <w:pPr>
      <w:widowControl/>
      <w:tabs>
        <w:tab w:val="left" w:pos="360"/>
      </w:tabs>
      <w:spacing w:before="260" w:after="160" w:line="240" w:lineRule="exact"/>
      <w:ind w:left="142" w:firstLine="200" w:firstLineChars="200"/>
      <w:jc w:val="left"/>
    </w:pPr>
    <w:rPr>
      <w:rFonts w:ascii="Verdana" w:hAnsi="Verdana"/>
      <w:kern w:val="0"/>
      <w:sz w:val="20"/>
      <w:szCs w:val="20"/>
      <w:lang w:eastAsia="en-US"/>
    </w:rPr>
  </w:style>
  <w:style w:type="paragraph" w:customStyle="1" w:styleId="112">
    <w:name w:val="4"/>
    <w:qFormat/>
    <w:uiPriority w:val="0"/>
    <w:pPr>
      <w:widowControl w:val="0"/>
      <w:jc w:val="both"/>
    </w:pPr>
    <w:rPr>
      <w:rFonts w:ascii="宋体" w:hAnsi="宋体" w:eastAsia="宋体" w:cs="Arial"/>
      <w:kern w:val="2"/>
      <w:sz w:val="21"/>
      <w:szCs w:val="24"/>
      <w:lang w:val="en-US" w:eastAsia="zh-CN" w:bidi="ar-SA"/>
    </w:rPr>
  </w:style>
  <w:style w:type="paragraph" w:customStyle="1" w:styleId="113">
    <w:name w:val="Char Char Char Char1"/>
    <w:basedOn w:val="1"/>
    <w:qFormat/>
    <w:uiPriority w:val="0"/>
    <w:pPr>
      <w:widowControl/>
      <w:spacing w:before="260" w:after="160" w:line="240" w:lineRule="exact"/>
      <w:ind w:left="142" w:firstLine="200" w:firstLineChars="200"/>
      <w:jc w:val="left"/>
    </w:pPr>
    <w:rPr>
      <w:rFonts w:ascii="Arial" w:hAnsi="Arial" w:eastAsia="Times New Roman" w:cs="Verdana"/>
      <w:b/>
      <w:kern w:val="0"/>
      <w:sz w:val="24"/>
      <w:szCs w:val="20"/>
      <w:lang w:eastAsia="en-US"/>
    </w:rPr>
  </w:style>
  <w:style w:type="paragraph" w:customStyle="1" w:styleId="114">
    <w:name w:val="Char1 Char Char Char Char Char Char Char Char1 Char Char1"/>
    <w:basedOn w:val="1"/>
    <w:qFormat/>
    <w:uiPriority w:val="0"/>
    <w:pPr>
      <w:ind w:left="142"/>
    </w:pPr>
    <w:rPr>
      <w:b/>
      <w:bCs/>
      <w:sz w:val="36"/>
      <w:szCs w:val="32"/>
    </w:rPr>
  </w:style>
  <w:style w:type="paragraph" w:customStyle="1" w:styleId="115">
    <w:name w:val="3"/>
    <w:qFormat/>
    <w:uiPriority w:val="0"/>
    <w:pPr>
      <w:widowControl w:val="0"/>
      <w:jc w:val="both"/>
    </w:pPr>
    <w:rPr>
      <w:rFonts w:ascii="宋体" w:hAnsi="宋体" w:eastAsia="宋体" w:cs="Arial"/>
      <w:kern w:val="2"/>
      <w:sz w:val="21"/>
      <w:szCs w:val="24"/>
      <w:lang w:val="en-US" w:eastAsia="zh-CN" w:bidi="ar-SA"/>
    </w:rPr>
  </w:style>
  <w:style w:type="paragraph" w:customStyle="1" w:styleId="116">
    <w:name w:val="纯文本1"/>
    <w:basedOn w:val="1"/>
    <w:qFormat/>
    <w:uiPriority w:val="0"/>
    <w:rPr>
      <w:rFonts w:hAnsi="Courier New"/>
    </w:rPr>
  </w:style>
  <w:style w:type="character" w:customStyle="1" w:styleId="117">
    <w:name w:val="正文文本缩进 字符"/>
    <w:basedOn w:val="39"/>
    <w:link w:val="17"/>
    <w:semiHidden/>
    <w:qFormat/>
    <w:uiPriority w:val="0"/>
    <w:rPr>
      <w:kern w:val="2"/>
      <w:sz w:val="21"/>
      <w:szCs w:val="24"/>
    </w:rPr>
  </w:style>
  <w:style w:type="paragraph" w:customStyle="1" w:styleId="118">
    <w:name w:val="_Style 2"/>
    <w:basedOn w:val="1"/>
    <w:qFormat/>
    <w:uiPriority w:val="34"/>
    <w:pPr>
      <w:ind w:firstLine="420" w:firstLineChars="200"/>
    </w:pPr>
    <w:rPr>
      <w:rFonts w:ascii="Calibri" w:hAnsi="Calibri"/>
      <w:szCs w:val="22"/>
    </w:rPr>
  </w:style>
  <w:style w:type="paragraph" w:customStyle="1" w:styleId="119">
    <w:name w:val="列出段落2"/>
    <w:basedOn w:val="1"/>
    <w:qFormat/>
    <w:uiPriority w:val="99"/>
    <w:pPr>
      <w:ind w:firstLine="420" w:firstLineChars="200"/>
    </w:pPr>
  </w:style>
  <w:style w:type="paragraph" w:customStyle="1" w:styleId="120">
    <w:name w:val="修订1"/>
    <w:hidden/>
    <w:semiHidden/>
    <w:qFormat/>
    <w:uiPriority w:val="99"/>
    <w:rPr>
      <w:rFonts w:ascii="宋体" w:hAnsi="宋体" w:eastAsia="宋体" w:cs="Arial"/>
      <w:kern w:val="2"/>
      <w:sz w:val="21"/>
      <w:szCs w:val="21"/>
      <w:lang w:val="en-US" w:eastAsia="zh-CN" w:bidi="ar-SA"/>
    </w:rPr>
  </w:style>
  <w:style w:type="paragraph" w:styleId="121">
    <w:name w:val="List Paragraph"/>
    <w:basedOn w:val="1"/>
    <w:qFormat/>
    <w:uiPriority w:val="99"/>
    <w:pPr>
      <w:ind w:firstLine="420" w:firstLineChars="200"/>
    </w:pPr>
  </w:style>
  <w:style w:type="paragraph" w:customStyle="1" w:styleId="122">
    <w:name w:val="正文0"/>
    <w:basedOn w:val="1"/>
    <w:qFormat/>
    <w:uiPriority w:val="0"/>
    <w:pPr>
      <w:numPr>
        <w:ilvl w:val="2"/>
        <w:numId w:val="0"/>
      </w:numPr>
      <w:spacing w:line="360" w:lineRule="auto"/>
      <w:ind w:left="0" w:firstLine="420" w:firstLineChars="200"/>
    </w:pPr>
    <w:rPr>
      <w:rFonts w:hint="eastAsia" w:ascii="宋体" w:hAnsi="宋体" w:eastAsia="宋体"/>
    </w:rPr>
  </w:style>
  <w:style w:type="character" w:customStyle="1" w:styleId="123">
    <w:name w:val="10"/>
    <w:basedOn w:val="39"/>
    <w:qFormat/>
    <w:uiPriority w:val="0"/>
    <w:rPr>
      <w:rFonts w:hint="default" w:ascii="Times New Roman" w:hAnsi="Times New Roman" w:cs="Times New Roman"/>
    </w:rPr>
  </w:style>
  <w:style w:type="character" w:customStyle="1" w:styleId="124">
    <w:name w:val="15"/>
    <w:basedOn w:val="39"/>
    <w:qFormat/>
    <w:uiPriority w:val="0"/>
    <w:rPr>
      <w:rFonts w:hint="default" w:ascii="Times New Roman" w:hAnsi="Times New Roman" w:cs="Times New Roman"/>
    </w:rPr>
  </w:style>
  <w:style w:type="paragraph" w:customStyle="1" w:styleId="125">
    <w:name w:val="正文首行缩进 21"/>
    <w:qFormat/>
    <w:uiPriority w:val="0"/>
    <w:pPr>
      <w:keepNext w:val="0"/>
      <w:keepLines w:val="0"/>
      <w:widowControl/>
      <w:suppressLineNumbers w:val="0"/>
      <w:spacing w:before="0" w:beforeAutospacing="0" w:after="0" w:afterAutospacing="0" w:line="500" w:lineRule="exact"/>
      <w:ind w:left="0" w:right="0" w:firstLine="420" w:firstLineChars="200"/>
      <w:jc w:val="both"/>
    </w:pPr>
    <w:rPr>
      <w:rFonts w:hint="default" w:ascii="Times New Roman" w:hAnsi="Times New Roman" w:eastAsia="宋体" w:cs="Times New Roman"/>
      <w:kern w:val="2"/>
      <w:sz w:val="21"/>
      <w:szCs w:val="21"/>
      <w:lang w:val="en-US" w:eastAsia="zh-CN" w:bidi="ar"/>
    </w:rPr>
  </w:style>
  <w:style w:type="character" w:customStyle="1" w:styleId="126">
    <w:name w:val="fill_|data-v-03bfc23b"/>
    <w:basedOn w:val="39"/>
    <w:qFormat/>
    <w:uiPriority w:val="0"/>
    <w:rPr>
      <w:color w:val="20A0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me too</Company>
  <Pages>24</Pages>
  <Words>15720</Words>
  <Characters>1507</Characters>
  <Lines>1</Lines>
  <Paragraphs>1</Paragraphs>
  <TotalTime>32</TotalTime>
  <ScaleCrop>false</ScaleCrop>
  <LinksUpToDate>false</LinksUpToDate>
  <CharactersWithSpaces>17193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2022-06-07T08:32:00Z</dcterms:created>
  <dc:creator>管理员</dc:creator>
  <cp:lastModifiedBy>卢德灿</cp:lastModifiedBy>
  <cp:lastPrinted>2016-06-13T09:12:00Z</cp:lastPrinted>
  <dcterms:modified xsi:type="dcterms:W3CDTF">2026-06-29T02:03:39Z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D4F846356725E2D2B9F9B06851728295_43</vt:lpwstr>
  </property>
</Properties>
</file>