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16030">
      <w:pPr>
        <w:pageBreakBefore w:val="0"/>
        <w:widowControl w:val="0"/>
        <w:kinsoku/>
        <w:wordWrap/>
        <w:overflowPunct/>
        <w:topLinePunct w:val="0"/>
        <w:autoSpaceDE/>
        <w:autoSpaceDN/>
        <w:bidi w:val="0"/>
        <w:adjustRightInd/>
        <w:snapToGrid/>
        <w:spacing w:line="360" w:lineRule="auto"/>
        <w:jc w:val="center"/>
        <w:textAlignment w:val="auto"/>
        <w:rPr>
          <w:b/>
          <w:sz w:val="36"/>
          <w:szCs w:val="36"/>
        </w:rPr>
      </w:pPr>
      <w:r>
        <w:rPr>
          <w:rFonts w:hint="eastAsia"/>
          <w:b/>
          <w:sz w:val="36"/>
          <w:szCs w:val="36"/>
          <w:lang w:val="en-US" w:eastAsia="zh-CN"/>
        </w:rPr>
        <w:t>厦航福州分公司废旧物资竞标程序及规则</w:t>
      </w:r>
    </w:p>
    <w:p w14:paraId="1C9C917C">
      <w:pPr>
        <w:pStyle w:val="2"/>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ascii="宋体" w:hAnsi="宋体" w:eastAsia="宋体"/>
          <w:sz w:val="24"/>
          <w:szCs w:val="24"/>
        </w:rPr>
      </w:pPr>
      <w:r>
        <w:rPr>
          <w:rFonts w:hint="eastAsia" w:ascii="宋体" w:hAnsi="宋体" w:eastAsia="宋体"/>
          <w:sz w:val="24"/>
          <w:szCs w:val="24"/>
        </w:rPr>
        <w:t>1.</w:t>
      </w:r>
      <w:r>
        <w:rPr>
          <w:rFonts w:hint="eastAsia" w:ascii="宋体" w:hAnsi="宋体" w:eastAsia="宋体"/>
          <w:sz w:val="24"/>
          <w:szCs w:val="24"/>
          <w:lang w:val="en-US" w:eastAsia="zh-CN"/>
        </w:rPr>
        <w:t>竞标</w:t>
      </w:r>
      <w:r>
        <w:rPr>
          <w:rFonts w:hint="eastAsia" w:ascii="宋体" w:hAnsi="宋体" w:eastAsia="宋体"/>
          <w:sz w:val="24"/>
          <w:szCs w:val="24"/>
        </w:rPr>
        <w:t>纪律</w:t>
      </w:r>
    </w:p>
    <w:p w14:paraId="4F036CE5">
      <w:pPr>
        <w:pageBreakBefore w:val="0"/>
        <w:widowControl w:val="0"/>
        <w:tabs>
          <w:tab w:val="left" w:pos="-315"/>
          <w:tab w:val="left" w:pos="735"/>
        </w:tabs>
        <w:kinsoku/>
        <w:wordWrap/>
        <w:overflowPunct/>
        <w:topLinePunct w:val="0"/>
        <w:autoSpaceDE/>
        <w:autoSpaceDN/>
        <w:bidi w:val="0"/>
        <w:adjustRightInd/>
        <w:snapToGrid/>
        <w:spacing w:line="360" w:lineRule="auto"/>
        <w:ind w:left="340"/>
        <w:textAlignment w:val="auto"/>
        <w:rPr>
          <w:rFonts w:hint="eastAsia" w:ascii="宋体" w:hAnsi="宋体"/>
          <w:sz w:val="24"/>
        </w:rPr>
      </w:pPr>
      <w:r>
        <w:rPr>
          <w:rFonts w:hint="eastAsia" w:ascii="宋体" w:hAnsi="宋体"/>
          <w:sz w:val="24"/>
        </w:rPr>
        <w:t>1.1．</w:t>
      </w:r>
      <w:r>
        <w:rPr>
          <w:rFonts w:hint="eastAsia" w:ascii="宋体" w:hAnsi="宋体"/>
          <w:sz w:val="24"/>
          <w:lang w:eastAsia="zh-CN"/>
        </w:rPr>
        <w:t>竞标</w:t>
      </w:r>
      <w:r>
        <w:rPr>
          <w:rFonts w:hint="eastAsia" w:ascii="宋体" w:hAnsi="宋体"/>
          <w:sz w:val="24"/>
        </w:rPr>
        <w:t>现场应将手机调至关机或静音状态，现场参与人员全程禁止使用手机，如确需使用手机，需举手请示，经现场</w:t>
      </w:r>
      <w:r>
        <w:rPr>
          <w:rFonts w:hint="eastAsia" w:ascii="宋体" w:hAnsi="宋体"/>
          <w:sz w:val="24"/>
          <w:lang w:val="en-US" w:eastAsia="zh-CN"/>
        </w:rPr>
        <w:t>纪律监督</w:t>
      </w:r>
      <w:r>
        <w:rPr>
          <w:rFonts w:hint="eastAsia" w:ascii="宋体" w:hAnsi="宋体"/>
          <w:sz w:val="24"/>
        </w:rPr>
        <w:t>人员同意后使用。</w:t>
      </w:r>
    </w:p>
    <w:p w14:paraId="6FBBF040">
      <w:pPr>
        <w:pageBreakBefore w:val="0"/>
        <w:widowControl w:val="0"/>
        <w:tabs>
          <w:tab w:val="left" w:pos="-315"/>
          <w:tab w:val="left" w:pos="735"/>
        </w:tabs>
        <w:kinsoku/>
        <w:wordWrap/>
        <w:overflowPunct/>
        <w:topLinePunct w:val="0"/>
        <w:autoSpaceDE/>
        <w:autoSpaceDN/>
        <w:bidi w:val="0"/>
        <w:adjustRightInd/>
        <w:snapToGrid/>
        <w:spacing w:line="360" w:lineRule="auto"/>
        <w:ind w:left="340"/>
        <w:textAlignment w:val="auto"/>
        <w:rPr>
          <w:rFonts w:ascii="宋体" w:hAnsi="宋体"/>
          <w:sz w:val="24"/>
        </w:rPr>
      </w:pPr>
      <w:r>
        <w:rPr>
          <w:rFonts w:hint="eastAsia" w:ascii="宋体" w:hAnsi="宋体"/>
          <w:sz w:val="24"/>
        </w:rPr>
        <w:t>1.</w:t>
      </w:r>
      <w:r>
        <w:rPr>
          <w:rFonts w:hint="eastAsia" w:ascii="宋体" w:hAnsi="宋体"/>
          <w:sz w:val="24"/>
          <w:lang w:val="en-US" w:eastAsia="zh-CN"/>
        </w:rPr>
        <w:t>2</w:t>
      </w:r>
      <w:r>
        <w:rPr>
          <w:rFonts w:hint="eastAsia" w:ascii="宋体" w:hAnsi="宋体"/>
          <w:sz w:val="24"/>
        </w:rPr>
        <w:t>．不得采用不正当手段串通作弊，不得以任何形式干扰</w:t>
      </w:r>
      <w:r>
        <w:rPr>
          <w:rFonts w:hint="eastAsia" w:ascii="宋体" w:hAnsi="宋体"/>
          <w:sz w:val="24"/>
          <w:lang w:eastAsia="zh-CN"/>
        </w:rPr>
        <w:t>竞标</w:t>
      </w:r>
      <w:r>
        <w:rPr>
          <w:rFonts w:hint="eastAsia" w:ascii="宋体" w:hAnsi="宋体"/>
          <w:sz w:val="24"/>
        </w:rPr>
        <w:t>工作，破坏公平竞争。</w:t>
      </w:r>
    </w:p>
    <w:p w14:paraId="1A1A7D4F">
      <w:pPr>
        <w:pageBreakBefore w:val="0"/>
        <w:widowControl w:val="0"/>
        <w:tabs>
          <w:tab w:val="left" w:pos="-315"/>
          <w:tab w:val="left" w:pos="735"/>
        </w:tabs>
        <w:kinsoku/>
        <w:wordWrap/>
        <w:overflowPunct/>
        <w:topLinePunct w:val="0"/>
        <w:autoSpaceDE/>
        <w:autoSpaceDN/>
        <w:bidi w:val="0"/>
        <w:adjustRightInd/>
        <w:snapToGrid/>
        <w:spacing w:line="360" w:lineRule="auto"/>
        <w:ind w:firstLine="360" w:firstLineChars="150"/>
        <w:textAlignment w:val="auto"/>
        <w:rPr>
          <w:rFonts w:hint="eastAsia" w:ascii="宋体" w:hAnsi="宋体"/>
          <w:sz w:val="24"/>
        </w:rPr>
      </w:pPr>
      <w:r>
        <w:rPr>
          <w:rFonts w:hint="eastAsia" w:ascii="宋体" w:hAnsi="宋体"/>
          <w:sz w:val="24"/>
        </w:rPr>
        <w:t>1.</w:t>
      </w:r>
      <w:r>
        <w:rPr>
          <w:rFonts w:hint="eastAsia" w:ascii="宋体" w:hAnsi="宋体"/>
          <w:sz w:val="24"/>
          <w:lang w:val="en-US" w:eastAsia="zh-CN"/>
        </w:rPr>
        <w:t>3</w:t>
      </w:r>
      <w:r>
        <w:rPr>
          <w:rFonts w:hint="eastAsia" w:ascii="宋体" w:hAnsi="宋体"/>
          <w:sz w:val="24"/>
        </w:rPr>
        <w:t>．</w:t>
      </w:r>
      <w:r>
        <w:rPr>
          <w:rFonts w:hint="eastAsia" w:ascii="宋体" w:hAnsi="宋体"/>
          <w:sz w:val="24"/>
          <w:lang w:eastAsia="zh-CN"/>
        </w:rPr>
        <w:t>竞标</w:t>
      </w:r>
      <w:r>
        <w:rPr>
          <w:rFonts w:hint="eastAsia" w:ascii="宋体" w:hAnsi="宋体"/>
          <w:sz w:val="24"/>
        </w:rPr>
        <w:t>供应商若违反上述要求，</w:t>
      </w:r>
      <w:r>
        <w:rPr>
          <w:rFonts w:hint="eastAsia" w:ascii="宋体" w:hAnsi="宋体"/>
          <w:sz w:val="24"/>
          <w:lang w:val="en-US" w:eastAsia="zh-CN"/>
        </w:rPr>
        <w:t>将取消其竞标资格，不予退还竞标保证金</w:t>
      </w:r>
      <w:r>
        <w:rPr>
          <w:rFonts w:hint="eastAsia" w:ascii="宋体" w:hAnsi="宋体"/>
          <w:sz w:val="24"/>
        </w:rPr>
        <w:t>。</w:t>
      </w:r>
    </w:p>
    <w:p w14:paraId="37F44A61">
      <w:pPr>
        <w:pageBreakBefore w:val="0"/>
        <w:widowControl w:val="0"/>
        <w:tabs>
          <w:tab w:val="left" w:pos="-315"/>
          <w:tab w:val="left" w:pos="735"/>
        </w:tabs>
        <w:kinsoku/>
        <w:wordWrap/>
        <w:overflowPunct/>
        <w:topLinePunct w:val="0"/>
        <w:autoSpaceDE/>
        <w:autoSpaceDN/>
        <w:bidi w:val="0"/>
        <w:adjustRightInd/>
        <w:snapToGrid/>
        <w:spacing w:line="360" w:lineRule="auto"/>
        <w:ind w:firstLine="360" w:firstLineChars="150"/>
        <w:textAlignment w:val="auto"/>
        <w:rPr>
          <w:rFonts w:hint="default" w:ascii="宋体" w:hAnsi="宋体" w:eastAsia="宋体"/>
          <w:b/>
          <w:bCs/>
          <w:sz w:val="24"/>
          <w:lang w:val="en-US" w:eastAsia="zh-CN"/>
        </w:rPr>
      </w:pPr>
      <w:r>
        <w:rPr>
          <w:rFonts w:hint="eastAsia" w:ascii="宋体" w:hAnsi="宋体"/>
          <w:sz w:val="24"/>
          <w:lang w:val="en-US" w:eastAsia="zh-CN"/>
        </w:rPr>
        <w:t xml:space="preserve">1.4. </w:t>
      </w:r>
      <w:r>
        <w:rPr>
          <w:rFonts w:hint="eastAsia" w:ascii="宋体" w:hAnsi="宋体"/>
          <w:b/>
          <w:bCs/>
          <w:sz w:val="24"/>
          <w:lang w:val="en-US" w:eastAsia="zh-CN"/>
        </w:rPr>
        <w:t>竞标开始前将由我公司资产专管人员确认标的资产情况，标的资产及相关配件、辅材，以物资现场确认为准，供应商在报价前应尽责了解。</w:t>
      </w:r>
    </w:p>
    <w:p w14:paraId="2B7198DE">
      <w:pPr>
        <w:pageBreakBefore w:val="0"/>
        <w:widowControl w:val="0"/>
        <w:kinsoku/>
        <w:wordWrap/>
        <w:overflowPunct/>
        <w:topLinePunct w:val="0"/>
        <w:autoSpaceDE/>
        <w:autoSpaceDN/>
        <w:bidi w:val="0"/>
        <w:adjustRightInd/>
        <w:snapToGrid/>
        <w:spacing w:line="360" w:lineRule="auto"/>
        <w:ind w:firstLine="360" w:firstLineChars="150"/>
        <w:textAlignment w:val="auto"/>
        <w:rPr>
          <w:rFonts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 xml:space="preserve"> </w:t>
      </w:r>
      <w:r>
        <w:rPr>
          <w:rFonts w:hint="eastAsia" w:ascii="宋体" w:hAnsi="宋体"/>
          <w:sz w:val="24"/>
        </w:rPr>
        <w:t>经招标方评</w:t>
      </w:r>
      <w:r>
        <w:rPr>
          <w:rFonts w:hint="eastAsia" w:ascii="宋体" w:hAnsi="宋体"/>
          <w:sz w:val="24"/>
          <w:lang w:eastAsia="zh-CN"/>
        </w:rPr>
        <w:t>估</w:t>
      </w:r>
      <w:r>
        <w:rPr>
          <w:rFonts w:hint="eastAsia" w:ascii="宋体" w:hAnsi="宋体"/>
          <w:sz w:val="24"/>
        </w:rPr>
        <w:t>，</w:t>
      </w:r>
      <w:r>
        <w:rPr>
          <w:rFonts w:hint="eastAsia" w:ascii="宋体" w:hAnsi="宋体"/>
          <w:sz w:val="24"/>
          <w:u w:val="single"/>
        </w:rPr>
        <w:t>若本次报价远低于招标方预期或其它原因，经处置小组表决，可宣布本次采购无效</w:t>
      </w:r>
      <w:r>
        <w:rPr>
          <w:rFonts w:hint="eastAsia" w:ascii="宋体" w:hAnsi="宋体"/>
          <w:sz w:val="24"/>
        </w:rPr>
        <w:t>，采购人将根据具体情况另行组织</w:t>
      </w:r>
      <w:r>
        <w:rPr>
          <w:rFonts w:hint="eastAsia" w:ascii="宋体" w:hAnsi="宋体"/>
          <w:sz w:val="24"/>
          <w:lang w:eastAsia="zh-CN"/>
        </w:rPr>
        <w:t>竞标</w:t>
      </w:r>
      <w:r>
        <w:rPr>
          <w:rFonts w:hint="eastAsia" w:ascii="宋体" w:hAnsi="宋体"/>
          <w:sz w:val="24"/>
        </w:rPr>
        <w:t>，供应商</w:t>
      </w:r>
      <w:r>
        <w:rPr>
          <w:rFonts w:hint="eastAsia" w:ascii="宋体" w:hAnsi="宋体"/>
          <w:sz w:val="24"/>
          <w:lang w:eastAsia="zh-CN"/>
        </w:rPr>
        <w:t>对此</w:t>
      </w:r>
      <w:r>
        <w:rPr>
          <w:rFonts w:hint="eastAsia" w:ascii="宋体" w:hAnsi="宋体"/>
          <w:sz w:val="24"/>
        </w:rPr>
        <w:t>应予以理解。</w:t>
      </w:r>
    </w:p>
    <w:p w14:paraId="48C536AB">
      <w:pPr>
        <w:pStyle w:val="3"/>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Ansi="宋体"/>
          <w:sz w:val="24"/>
          <w:szCs w:val="24"/>
        </w:rPr>
      </w:pPr>
      <w:r>
        <w:rPr>
          <w:rFonts w:hint="eastAsia" w:hAnsi="宋体"/>
          <w:sz w:val="24"/>
          <w:szCs w:val="24"/>
        </w:rPr>
        <w:t>2.</w:t>
      </w:r>
      <w:r>
        <w:rPr>
          <w:rFonts w:hint="eastAsia" w:hAnsi="宋体"/>
          <w:sz w:val="24"/>
          <w:szCs w:val="24"/>
          <w:lang w:eastAsia="zh-CN"/>
        </w:rPr>
        <w:t>竞标</w:t>
      </w:r>
      <w:r>
        <w:rPr>
          <w:rFonts w:hint="eastAsia" w:hAnsi="宋体"/>
          <w:sz w:val="24"/>
          <w:szCs w:val="24"/>
        </w:rPr>
        <w:t>规则</w:t>
      </w:r>
    </w:p>
    <w:p w14:paraId="71C9A813">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sz w:val="24"/>
          <w:lang w:val="en-US"/>
        </w:rPr>
      </w:pPr>
      <w:r>
        <w:rPr>
          <w:rFonts w:hint="eastAsia" w:ascii="宋体" w:hAnsi="宋体"/>
          <w:sz w:val="24"/>
        </w:rPr>
        <w:t>2.1供应商需按时到达</w:t>
      </w:r>
      <w:r>
        <w:rPr>
          <w:rFonts w:hint="eastAsia" w:ascii="宋体" w:hAnsi="宋体"/>
          <w:sz w:val="24"/>
          <w:lang w:eastAsia="zh-CN"/>
        </w:rPr>
        <w:t>，</w:t>
      </w:r>
      <w:r>
        <w:rPr>
          <w:rFonts w:hint="eastAsia" w:ascii="宋体" w:hAnsi="宋体"/>
          <w:sz w:val="24"/>
        </w:rPr>
        <w:t>人员到</w:t>
      </w:r>
      <w:r>
        <w:rPr>
          <w:rFonts w:hint="eastAsia" w:ascii="宋体" w:hAnsi="宋体"/>
          <w:sz w:val="24"/>
          <w:lang w:val="en-US" w:eastAsia="zh-CN"/>
        </w:rPr>
        <w:t>场</w:t>
      </w:r>
      <w:r>
        <w:rPr>
          <w:rFonts w:hint="eastAsia" w:ascii="宋体" w:hAnsi="宋体"/>
          <w:sz w:val="24"/>
        </w:rPr>
        <w:t>后现场</w:t>
      </w:r>
      <w:r>
        <w:rPr>
          <w:rFonts w:hint="eastAsia" w:ascii="宋体" w:hAnsi="宋体"/>
          <w:sz w:val="24"/>
          <w:lang w:val="en-US" w:eastAsia="zh-CN"/>
        </w:rPr>
        <w:t>检查相关资质文件，符合要求后统一收取密封的第一轮报价单。</w:t>
      </w:r>
    </w:p>
    <w:p w14:paraId="786054B1">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bCs/>
          <w:sz w:val="24"/>
          <w:lang w:eastAsia="zh-CN"/>
        </w:rPr>
      </w:pPr>
      <w:r>
        <w:rPr>
          <w:rFonts w:hint="eastAsia" w:ascii="宋体" w:hAnsi="宋体"/>
          <w:b/>
          <w:bCs/>
          <w:sz w:val="24"/>
        </w:rPr>
        <w:t xml:space="preserve">2.2 </w:t>
      </w:r>
      <w:r>
        <w:rPr>
          <w:rFonts w:hint="eastAsia" w:ascii="宋体" w:hAnsi="宋体"/>
          <w:b/>
          <w:bCs/>
          <w:sz w:val="24"/>
          <w:lang w:eastAsia="zh-CN"/>
        </w:rPr>
        <w:t>第一轮报价：</w:t>
      </w:r>
    </w:p>
    <w:p w14:paraId="5F06248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lang w:val="en-US" w:eastAsia="zh-CN"/>
        </w:rPr>
      </w:pPr>
      <w:r>
        <w:rPr>
          <w:rFonts w:hint="eastAsia" w:ascii="宋体" w:hAnsi="宋体"/>
          <w:sz w:val="24"/>
          <w:lang w:val="en-US" w:eastAsia="zh-CN"/>
        </w:rPr>
        <w:t>现场拆封所有已通过资格审查的参与单位的报价单（报价金额不一致的以大写金额为准，报价单不得涂改，涂改报价单将作废处理）。采购人对全部有效第一轮报价进行排序，宣布最高报价金额，并取报价排名前50%的参与单位进入第二轮报价环节；若出现排名并列情形，并列单位一并纳入第二轮竞价范围。</w:t>
      </w:r>
    </w:p>
    <w:p w14:paraId="7D474D11">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bCs/>
          <w:color w:val="FF0000"/>
          <w:sz w:val="24"/>
          <w:lang w:val="en-US" w:eastAsia="zh-CN"/>
        </w:rPr>
      </w:pPr>
      <w:r>
        <w:rPr>
          <w:rFonts w:hint="eastAsia" w:ascii="宋体" w:hAnsi="宋体"/>
          <w:b/>
          <w:bCs/>
          <w:color w:val="FF0000"/>
          <w:sz w:val="24"/>
          <w:lang w:val="en-US" w:eastAsia="zh-CN"/>
        </w:rPr>
        <w:t>未进入第二轮竞价的单位，竞价资格终止，不得参与第二轮竞价，并</w:t>
      </w:r>
      <w:r>
        <w:rPr>
          <w:rFonts w:hint="eastAsia" w:ascii="宋体" w:hAnsi="宋体"/>
          <w:b/>
          <w:bCs/>
          <w:color w:val="FF0000"/>
          <w:sz w:val="24"/>
          <w:lang w:val="en-US" w:eastAsia="zh-CN"/>
        </w:rPr>
        <w:t>需离开处置现场</w:t>
      </w:r>
      <w:r>
        <w:rPr>
          <w:rFonts w:hint="eastAsia" w:ascii="宋体" w:hAnsi="宋体"/>
          <w:b/>
          <w:bCs/>
          <w:color w:val="FF0000"/>
          <w:sz w:val="24"/>
          <w:lang w:val="en-US" w:eastAsia="zh-CN"/>
        </w:rPr>
        <w:t>。</w:t>
      </w:r>
    </w:p>
    <w:p w14:paraId="7153F35A">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bCs/>
          <w:sz w:val="24"/>
          <w:lang w:val="en-US" w:eastAsia="zh-CN"/>
        </w:rPr>
      </w:pPr>
      <w:r>
        <w:rPr>
          <w:rFonts w:hint="eastAsia" w:ascii="宋体" w:hAnsi="宋体"/>
          <w:b/>
          <w:bCs/>
          <w:sz w:val="24"/>
          <w:lang w:val="en-US" w:eastAsia="zh-CN"/>
        </w:rPr>
        <w:t>2.3 第二轮报价：</w:t>
      </w:r>
    </w:p>
    <w:p w14:paraId="2D6F2F15">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rPr>
      </w:pPr>
      <w:r>
        <w:rPr>
          <w:rFonts w:hint="eastAsia" w:ascii="宋体" w:hAnsi="宋体"/>
          <w:sz w:val="24"/>
          <w:lang w:val="en-US" w:eastAsia="zh-CN"/>
        </w:rPr>
        <w:t>招标方现场统一发放第二轮报价单，获得第二轮竞价资格的单位在</w:t>
      </w:r>
      <w:r>
        <w:rPr>
          <w:rFonts w:hint="eastAsia" w:ascii="宋体" w:hAnsi="宋体"/>
          <w:sz w:val="24"/>
        </w:rPr>
        <w:t>10分钟时间</w:t>
      </w:r>
      <w:r>
        <w:rPr>
          <w:rFonts w:hint="eastAsia" w:ascii="宋体" w:hAnsi="宋体"/>
          <w:sz w:val="24"/>
          <w:lang w:eastAsia="zh-CN"/>
        </w:rPr>
        <w:t>内</w:t>
      </w:r>
      <w:r>
        <w:rPr>
          <w:rFonts w:hint="eastAsia" w:ascii="宋体" w:hAnsi="宋体"/>
          <w:sz w:val="24"/>
        </w:rPr>
        <w:t>进行</w:t>
      </w:r>
      <w:r>
        <w:rPr>
          <w:rFonts w:hint="eastAsia" w:ascii="宋体" w:hAnsi="宋体"/>
          <w:sz w:val="24"/>
          <w:lang w:val="en-US" w:eastAsia="zh-CN"/>
        </w:rPr>
        <w:t>第</w:t>
      </w:r>
      <w:r>
        <w:rPr>
          <w:rFonts w:hint="eastAsia" w:ascii="宋体" w:hAnsi="宋体"/>
          <w:sz w:val="24"/>
        </w:rPr>
        <w:t>二次报价（</w:t>
      </w:r>
      <w:r>
        <w:rPr>
          <w:rFonts w:hint="eastAsia" w:ascii="宋体" w:hAnsi="宋体"/>
          <w:sz w:val="24"/>
          <w:lang w:val="en-US" w:eastAsia="zh-CN"/>
        </w:rPr>
        <w:t>第</w:t>
      </w:r>
      <w:r>
        <w:rPr>
          <w:rFonts w:hint="eastAsia" w:ascii="宋体" w:hAnsi="宋体"/>
          <w:sz w:val="24"/>
        </w:rPr>
        <w:t>二次报价金额</w:t>
      </w:r>
      <w:r>
        <w:rPr>
          <w:rFonts w:hint="eastAsia" w:ascii="宋体" w:hAnsi="宋体"/>
          <w:sz w:val="24"/>
          <w:lang w:eastAsia="zh-CN"/>
        </w:rPr>
        <w:t>需大于或等于</w:t>
      </w:r>
      <w:r>
        <w:rPr>
          <w:rFonts w:hint="eastAsia" w:ascii="宋体" w:hAnsi="宋体"/>
          <w:sz w:val="24"/>
        </w:rPr>
        <w:t>竞拍人</w:t>
      </w:r>
      <w:r>
        <w:rPr>
          <w:rFonts w:hint="eastAsia" w:ascii="宋体" w:hAnsi="宋体"/>
          <w:sz w:val="24"/>
          <w:lang w:eastAsia="zh-CN"/>
        </w:rPr>
        <w:t>本人的</w:t>
      </w:r>
      <w:r>
        <w:rPr>
          <w:rFonts w:hint="eastAsia" w:ascii="宋体" w:hAnsi="宋体"/>
          <w:sz w:val="24"/>
        </w:rPr>
        <w:t>第一次报价）</w:t>
      </w:r>
      <w:r>
        <w:rPr>
          <w:rFonts w:hint="eastAsia" w:ascii="宋体" w:hAnsi="宋体"/>
          <w:sz w:val="24"/>
          <w:lang w:eastAsia="zh-CN"/>
        </w:rPr>
        <w:t>。第二轮报价为最终报价，如最高报价不止一家，则在最高报价单位中进行第三轮报价，直至选出唯一最高报价</w:t>
      </w:r>
      <w:r>
        <w:rPr>
          <w:rFonts w:hint="eastAsia" w:ascii="宋体" w:hAnsi="宋体"/>
          <w:sz w:val="24"/>
          <w:lang w:val="en-US" w:eastAsia="zh-CN"/>
        </w:rPr>
        <w:t>，并宣布中标价格及报价单编号</w:t>
      </w:r>
      <w:r>
        <w:rPr>
          <w:rFonts w:hint="eastAsia" w:ascii="宋体" w:hAnsi="宋体"/>
          <w:sz w:val="24"/>
        </w:rPr>
        <w:t>。</w:t>
      </w:r>
    </w:p>
    <w:p w14:paraId="67FD4FE0">
      <w:pPr>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ascii="宋体" w:hAnsi="宋体"/>
          <w:sz w:val="24"/>
        </w:rPr>
        <w:t>2.</w:t>
      </w:r>
      <w:r>
        <w:rPr>
          <w:rFonts w:hint="eastAsia" w:ascii="宋体" w:hAnsi="宋体"/>
          <w:sz w:val="24"/>
          <w:lang w:val="en-US" w:eastAsia="zh-CN"/>
        </w:rPr>
        <w:t>4</w:t>
      </w:r>
      <w:r>
        <w:rPr>
          <w:rFonts w:hint="eastAsia" w:ascii="宋体" w:hAnsi="宋体"/>
          <w:sz w:val="24"/>
        </w:rPr>
        <w:t>原则上本次</w:t>
      </w:r>
      <w:r>
        <w:rPr>
          <w:rFonts w:hint="eastAsia" w:ascii="宋体" w:hAnsi="宋体"/>
          <w:sz w:val="24"/>
          <w:lang w:eastAsia="zh-CN"/>
        </w:rPr>
        <w:t>拍卖</w:t>
      </w:r>
      <w:r>
        <w:rPr>
          <w:rFonts w:hint="eastAsia" w:ascii="宋体" w:hAnsi="宋体"/>
          <w:sz w:val="24"/>
        </w:rPr>
        <w:t>高价中标，但</w:t>
      </w:r>
      <w:r>
        <w:rPr>
          <w:rFonts w:hint="eastAsia" w:ascii="宋体" w:hAnsi="宋体"/>
          <w:sz w:val="24"/>
          <w:lang w:eastAsia="zh-CN"/>
        </w:rPr>
        <w:t>拍卖</w:t>
      </w:r>
      <w:r>
        <w:rPr>
          <w:rFonts w:hint="eastAsia" w:ascii="宋体" w:hAnsi="宋体"/>
          <w:sz w:val="24"/>
        </w:rPr>
        <w:t>方不保证最高报价</w:t>
      </w:r>
      <w:r>
        <w:rPr>
          <w:rFonts w:hint="eastAsia" w:ascii="宋体" w:hAnsi="宋体"/>
          <w:sz w:val="24"/>
          <w:lang w:eastAsia="zh-CN"/>
        </w:rPr>
        <w:t>一定可以</w:t>
      </w:r>
      <w:r>
        <w:rPr>
          <w:rFonts w:hint="eastAsia" w:ascii="宋体" w:hAnsi="宋体"/>
          <w:sz w:val="24"/>
        </w:rPr>
        <w:t>成交，</w:t>
      </w:r>
      <w:r>
        <w:rPr>
          <w:rFonts w:hint="eastAsia" w:ascii="宋体" w:hAnsi="宋体"/>
          <w:sz w:val="24"/>
          <w:lang w:eastAsia="zh-CN"/>
        </w:rPr>
        <w:t>需</w:t>
      </w:r>
      <w:r>
        <w:rPr>
          <w:rFonts w:hint="eastAsia" w:ascii="宋体" w:hAnsi="宋体"/>
          <w:sz w:val="24"/>
        </w:rPr>
        <w:t>以现场处置小组人员</w:t>
      </w:r>
      <w:r>
        <w:rPr>
          <w:rFonts w:hint="eastAsia" w:ascii="宋体" w:hAnsi="宋体"/>
          <w:sz w:val="24"/>
          <w:lang w:val="en-US" w:eastAsia="zh-CN"/>
        </w:rPr>
        <w:t>表决</w:t>
      </w:r>
      <w:r>
        <w:rPr>
          <w:rFonts w:hint="eastAsia" w:ascii="宋体" w:hAnsi="宋体"/>
          <w:sz w:val="24"/>
        </w:rPr>
        <w:t>结果为准。</w:t>
      </w:r>
      <w:r>
        <w:rPr>
          <w:rFonts w:hint="eastAsia" w:ascii="宋体" w:hAnsi="宋体"/>
          <w:sz w:val="24"/>
          <w:lang w:val="en-US" w:eastAsia="zh-CN"/>
        </w:rPr>
        <w:t>中标</w:t>
      </w:r>
      <w:r>
        <w:rPr>
          <w:rFonts w:hint="eastAsia" w:ascii="宋体" w:hAnsi="宋体"/>
          <w:sz w:val="24"/>
        </w:rPr>
        <w:t>供应商一旦被确定，其他供应商不能再以任何形式影响采购人的决定。</w:t>
      </w:r>
    </w:p>
    <w:p w14:paraId="0747F451">
      <w:pPr>
        <w:pStyle w:val="3"/>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Ansi="宋体"/>
          <w:sz w:val="24"/>
          <w:szCs w:val="24"/>
        </w:rPr>
      </w:pPr>
      <w:r>
        <w:rPr>
          <w:rFonts w:hint="eastAsia" w:hAnsi="宋体"/>
          <w:sz w:val="24"/>
          <w:szCs w:val="24"/>
        </w:rPr>
        <w:t>3.资产交接</w:t>
      </w:r>
      <w:bookmarkStart w:id="0" w:name="_GoBack"/>
      <w:bookmarkEnd w:id="0"/>
    </w:p>
    <w:p w14:paraId="1206B8F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rPr>
      </w:pPr>
      <w:r>
        <w:rPr>
          <w:rFonts w:hint="eastAsia" w:ascii="宋体" w:hAnsi="宋体"/>
          <w:sz w:val="24"/>
        </w:rPr>
        <w:t>3.1</w:t>
      </w:r>
      <w:r>
        <w:rPr>
          <w:rFonts w:hint="eastAsia" w:ascii="宋体" w:hAnsi="宋体"/>
          <w:sz w:val="24"/>
          <w:lang w:val="en-US" w:eastAsia="zh-CN"/>
        </w:rPr>
        <w:t xml:space="preserve"> </w:t>
      </w:r>
      <w:r>
        <w:rPr>
          <w:rFonts w:hint="eastAsia" w:ascii="宋体" w:hAnsi="宋体"/>
          <w:sz w:val="24"/>
        </w:rPr>
        <w:t>中标</w:t>
      </w:r>
      <w:r>
        <w:rPr>
          <w:rFonts w:hint="eastAsia" w:ascii="宋体" w:hAnsi="宋体"/>
          <w:sz w:val="24"/>
          <w:lang w:val="en-US" w:eastAsia="zh-CN"/>
        </w:rPr>
        <w:t>供应商，</w:t>
      </w:r>
      <w:r>
        <w:rPr>
          <w:rFonts w:hint="eastAsia" w:ascii="宋体" w:hAnsi="宋体"/>
          <w:sz w:val="24"/>
        </w:rPr>
        <w:t>需</w:t>
      </w:r>
      <w:r>
        <w:rPr>
          <w:rFonts w:hint="eastAsia" w:ascii="宋体" w:hAnsi="宋体"/>
          <w:sz w:val="24"/>
          <w:lang w:val="en-US" w:eastAsia="zh-CN"/>
        </w:rPr>
        <w:t>在当日15:00前</w:t>
      </w:r>
      <w:r>
        <w:rPr>
          <w:rFonts w:hint="eastAsia" w:ascii="宋体" w:hAnsi="宋体"/>
          <w:sz w:val="24"/>
        </w:rPr>
        <w:t>将</w:t>
      </w:r>
      <w:r>
        <w:rPr>
          <w:rFonts w:hint="eastAsia" w:ascii="宋体" w:hAnsi="宋体"/>
          <w:sz w:val="24"/>
          <w:lang w:val="en-US" w:eastAsia="zh-CN"/>
        </w:rPr>
        <w:t>竞标款项全款</w:t>
      </w:r>
      <w:r>
        <w:rPr>
          <w:rFonts w:hint="eastAsia" w:ascii="宋体" w:hAnsi="宋体"/>
          <w:sz w:val="24"/>
        </w:rPr>
        <w:t>转账至招标方指定账户，招标方确认款项到账后方可把本批次报废资产移交中标方</w:t>
      </w:r>
      <w:r>
        <w:rPr>
          <w:rFonts w:hint="eastAsia" w:ascii="宋体" w:hAnsi="宋体"/>
          <w:sz w:val="24"/>
          <w:lang w:eastAsia="zh-CN"/>
        </w:rPr>
        <w:t>。</w:t>
      </w:r>
      <w:r>
        <w:rPr>
          <w:rFonts w:hint="eastAsia" w:ascii="宋体" w:hAnsi="宋体"/>
          <w:sz w:val="24"/>
        </w:rPr>
        <w:t>中标方</w:t>
      </w:r>
      <w:r>
        <w:rPr>
          <w:rFonts w:hint="eastAsia" w:ascii="宋体" w:hAnsi="宋体"/>
          <w:sz w:val="24"/>
          <w:lang w:val="en-US" w:eastAsia="zh-CN"/>
        </w:rPr>
        <w:t>需在接到通知后7日内需完成资产交接工作，且</w:t>
      </w:r>
      <w:r>
        <w:rPr>
          <w:rFonts w:hint="eastAsia" w:ascii="宋体" w:hAnsi="宋体"/>
          <w:sz w:val="24"/>
        </w:rPr>
        <w:t>自行负责拆除、搬运、运输</w:t>
      </w:r>
      <w:r>
        <w:rPr>
          <w:rFonts w:hint="eastAsia" w:ascii="宋体" w:hAnsi="宋体"/>
          <w:sz w:val="24"/>
          <w:lang w:eastAsia="zh-CN"/>
        </w:rPr>
        <w:t>、墙体拆除恢复等所有</w:t>
      </w:r>
      <w:r>
        <w:rPr>
          <w:rFonts w:hint="eastAsia" w:ascii="宋体" w:hAnsi="宋体"/>
          <w:sz w:val="24"/>
        </w:rPr>
        <w:t>费用，并需按我公司要求做好现场清理工作。</w:t>
      </w:r>
    </w:p>
    <w:p w14:paraId="26B5333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lang w:val="en-US" w:eastAsia="zh-CN"/>
        </w:rPr>
      </w:pPr>
      <w:r>
        <w:rPr>
          <w:rFonts w:hint="eastAsia" w:ascii="宋体" w:hAnsi="宋体"/>
          <w:sz w:val="24"/>
          <w:lang w:val="en-US" w:eastAsia="zh-CN"/>
        </w:rPr>
        <w:t>3.2 中标单位必须按相关法律法规，严格遵守施工区域及我公司安全生产要求，安排有相关资质的工作人员处理中标物资，并办理好人员及工具机场控制区域通行证件，处置过程中发生的一切问题由中标单位负责，如造成后果，需赔偿我公司全部损失。</w:t>
      </w:r>
    </w:p>
    <w:p w14:paraId="5AF2DB1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lang w:val="en-US" w:eastAsia="zh-CN"/>
        </w:rPr>
      </w:pPr>
      <w:r>
        <w:rPr>
          <w:rFonts w:hint="eastAsia" w:ascii="宋体" w:hAnsi="宋体"/>
          <w:sz w:val="24"/>
          <w:lang w:val="en-US" w:eastAsia="zh-CN"/>
        </w:rPr>
        <w:t>3.3 如中标单位规定时间内未将相关款项转入指定账户，竞标保证金将不予退还，我公司将视情将标的资产所有权转让给出价第二高的供应商或另行组织处置。</w:t>
      </w:r>
    </w:p>
    <w:p w14:paraId="64B719A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lang w:val="en-US" w:eastAsia="zh-CN"/>
        </w:rPr>
      </w:pPr>
    </w:p>
    <w:p w14:paraId="6595E762">
      <w:pPr>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default" w:ascii="宋体" w:hAnsi="宋体"/>
          <w:sz w:val="24"/>
          <w:lang w:val="en-US" w:eastAsia="zh-CN"/>
        </w:rPr>
      </w:pPr>
      <w:r>
        <w:rPr>
          <w:rFonts w:hint="eastAsia" w:ascii="宋体" w:hAnsi="宋体"/>
          <w:sz w:val="24"/>
          <w:lang w:val="en-US" w:eastAsia="zh-CN"/>
        </w:rPr>
        <w:t>2026年9月18日</w:t>
      </w:r>
    </w:p>
    <w:sectPr>
      <w:footerReference r:id="rId3" w:type="default"/>
      <w:footerReference r:id="rId4" w:type="even"/>
      <w:pgSz w:w="11906" w:h="16838"/>
      <w:pgMar w:top="567" w:right="964" w:bottom="1134" w:left="96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ESI黑体-GB2312">
    <w:panose1 w:val="02000500000000000000"/>
    <w:charset w:val="86"/>
    <w:family w:val="auto"/>
    <w:pitch w:val="default"/>
    <w:sig w:usb0="800002BF" w:usb1="184F6CF8" w:usb2="00000012" w:usb3="00000000" w:csb0="0004000F"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0240E">
    <w:pPr>
      <w:pStyle w:val="4"/>
      <w:ind w:right="360"/>
      <w:rPr>
        <w:rFonts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FB004">
    <w:pPr>
      <w:pStyle w:val="4"/>
      <w:framePr w:wrap="around" w:vAnchor="text" w:hAnchor="margin" w:xAlign="right" w:y="1"/>
      <w:rPr>
        <w:rStyle w:val="8"/>
      </w:rPr>
    </w:pPr>
    <w:r>
      <w:fldChar w:fldCharType="begin"/>
    </w:r>
    <w:r>
      <w:rPr>
        <w:rStyle w:val="8"/>
      </w:rPr>
      <w:instrText xml:space="preserve">PAGE  </w:instrText>
    </w:r>
    <w:r>
      <w:fldChar w:fldCharType="separate"/>
    </w:r>
    <w:r>
      <w:rPr>
        <w:rStyle w:val="8"/>
      </w:rPr>
      <w:t>20</w:t>
    </w:r>
    <w:r>
      <w:fldChar w:fldCharType="end"/>
    </w:r>
  </w:p>
  <w:p w14:paraId="507611C5">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7B9"/>
    <w:rsid w:val="000028DC"/>
    <w:rsid w:val="00017230"/>
    <w:rsid w:val="000250B4"/>
    <w:rsid w:val="000316BA"/>
    <w:rsid w:val="0003315A"/>
    <w:rsid w:val="00033B16"/>
    <w:rsid w:val="000347EB"/>
    <w:rsid w:val="00046E7B"/>
    <w:rsid w:val="00047096"/>
    <w:rsid w:val="00051CF3"/>
    <w:rsid w:val="00071B03"/>
    <w:rsid w:val="00072757"/>
    <w:rsid w:val="000827C9"/>
    <w:rsid w:val="00087027"/>
    <w:rsid w:val="00091F9F"/>
    <w:rsid w:val="00092D1A"/>
    <w:rsid w:val="000934F4"/>
    <w:rsid w:val="00096CBF"/>
    <w:rsid w:val="000A6889"/>
    <w:rsid w:val="000B285F"/>
    <w:rsid w:val="000C0F1A"/>
    <w:rsid w:val="000C1AC1"/>
    <w:rsid w:val="000C2FB2"/>
    <w:rsid w:val="000C55D3"/>
    <w:rsid w:val="000C6752"/>
    <w:rsid w:val="000D08DE"/>
    <w:rsid w:val="000F651C"/>
    <w:rsid w:val="00104EA4"/>
    <w:rsid w:val="00107229"/>
    <w:rsid w:val="00110FC2"/>
    <w:rsid w:val="001271FB"/>
    <w:rsid w:val="00127983"/>
    <w:rsid w:val="00131034"/>
    <w:rsid w:val="001323E9"/>
    <w:rsid w:val="001472A2"/>
    <w:rsid w:val="001525BC"/>
    <w:rsid w:val="00152D1A"/>
    <w:rsid w:val="00153487"/>
    <w:rsid w:val="00156B12"/>
    <w:rsid w:val="001612BF"/>
    <w:rsid w:val="001640D4"/>
    <w:rsid w:val="00165828"/>
    <w:rsid w:val="0016749C"/>
    <w:rsid w:val="00175673"/>
    <w:rsid w:val="00184D24"/>
    <w:rsid w:val="00195DAC"/>
    <w:rsid w:val="001A54C8"/>
    <w:rsid w:val="001B2F2D"/>
    <w:rsid w:val="001B6139"/>
    <w:rsid w:val="001D3B36"/>
    <w:rsid w:val="001D641D"/>
    <w:rsid w:val="001E3625"/>
    <w:rsid w:val="001F44E2"/>
    <w:rsid w:val="002007DB"/>
    <w:rsid w:val="00200D8C"/>
    <w:rsid w:val="00207056"/>
    <w:rsid w:val="00213E9A"/>
    <w:rsid w:val="002147EF"/>
    <w:rsid w:val="002271AA"/>
    <w:rsid w:val="002332D6"/>
    <w:rsid w:val="00234F0D"/>
    <w:rsid w:val="002443B4"/>
    <w:rsid w:val="00257EAC"/>
    <w:rsid w:val="00270B4F"/>
    <w:rsid w:val="002A4EF2"/>
    <w:rsid w:val="002B1D1E"/>
    <w:rsid w:val="002B3770"/>
    <w:rsid w:val="002B51DB"/>
    <w:rsid w:val="002C6CFB"/>
    <w:rsid w:val="002D65BE"/>
    <w:rsid w:val="002D7B87"/>
    <w:rsid w:val="002E3ACD"/>
    <w:rsid w:val="002E403E"/>
    <w:rsid w:val="002E6EE6"/>
    <w:rsid w:val="002F0B48"/>
    <w:rsid w:val="002F27E6"/>
    <w:rsid w:val="00314CCA"/>
    <w:rsid w:val="00326AE2"/>
    <w:rsid w:val="00326EDC"/>
    <w:rsid w:val="003308EA"/>
    <w:rsid w:val="00331B5F"/>
    <w:rsid w:val="003463A7"/>
    <w:rsid w:val="003516FB"/>
    <w:rsid w:val="00355BFA"/>
    <w:rsid w:val="00381264"/>
    <w:rsid w:val="003A2422"/>
    <w:rsid w:val="003A4518"/>
    <w:rsid w:val="003A46D8"/>
    <w:rsid w:val="003B1105"/>
    <w:rsid w:val="003C7841"/>
    <w:rsid w:val="003D28CB"/>
    <w:rsid w:val="003D5E3C"/>
    <w:rsid w:val="003E1C85"/>
    <w:rsid w:val="003E518A"/>
    <w:rsid w:val="003F7E45"/>
    <w:rsid w:val="00401A7A"/>
    <w:rsid w:val="00412EA7"/>
    <w:rsid w:val="00414628"/>
    <w:rsid w:val="00432FBD"/>
    <w:rsid w:val="004426F6"/>
    <w:rsid w:val="00446BC7"/>
    <w:rsid w:val="004559D1"/>
    <w:rsid w:val="00461A8A"/>
    <w:rsid w:val="004673B0"/>
    <w:rsid w:val="004716F2"/>
    <w:rsid w:val="0048313F"/>
    <w:rsid w:val="004846F3"/>
    <w:rsid w:val="004849A2"/>
    <w:rsid w:val="004957AA"/>
    <w:rsid w:val="00497342"/>
    <w:rsid w:val="004A588E"/>
    <w:rsid w:val="004B5440"/>
    <w:rsid w:val="004C5BD4"/>
    <w:rsid w:val="004C6624"/>
    <w:rsid w:val="004C76B9"/>
    <w:rsid w:val="004D316A"/>
    <w:rsid w:val="004D453C"/>
    <w:rsid w:val="004D4E99"/>
    <w:rsid w:val="004D7CF5"/>
    <w:rsid w:val="004E6522"/>
    <w:rsid w:val="0050279D"/>
    <w:rsid w:val="00506C36"/>
    <w:rsid w:val="0051526B"/>
    <w:rsid w:val="005173D3"/>
    <w:rsid w:val="00522733"/>
    <w:rsid w:val="00530627"/>
    <w:rsid w:val="00537C21"/>
    <w:rsid w:val="00552EE0"/>
    <w:rsid w:val="00556B3B"/>
    <w:rsid w:val="0056394D"/>
    <w:rsid w:val="0057265E"/>
    <w:rsid w:val="0057439C"/>
    <w:rsid w:val="0057706C"/>
    <w:rsid w:val="005843F7"/>
    <w:rsid w:val="0058566B"/>
    <w:rsid w:val="005868F8"/>
    <w:rsid w:val="00590B8E"/>
    <w:rsid w:val="005946AC"/>
    <w:rsid w:val="005A6043"/>
    <w:rsid w:val="005B5567"/>
    <w:rsid w:val="005C1BA2"/>
    <w:rsid w:val="005C3B8C"/>
    <w:rsid w:val="005C53C0"/>
    <w:rsid w:val="005C5E36"/>
    <w:rsid w:val="005D5645"/>
    <w:rsid w:val="005E1FE7"/>
    <w:rsid w:val="005F3413"/>
    <w:rsid w:val="005F58B7"/>
    <w:rsid w:val="0060253A"/>
    <w:rsid w:val="00607D2D"/>
    <w:rsid w:val="006157A7"/>
    <w:rsid w:val="00627041"/>
    <w:rsid w:val="00637052"/>
    <w:rsid w:val="00637B6C"/>
    <w:rsid w:val="00641D96"/>
    <w:rsid w:val="00651859"/>
    <w:rsid w:val="00652519"/>
    <w:rsid w:val="00665879"/>
    <w:rsid w:val="00676E2F"/>
    <w:rsid w:val="00685747"/>
    <w:rsid w:val="00693ABA"/>
    <w:rsid w:val="00694EB1"/>
    <w:rsid w:val="006974A5"/>
    <w:rsid w:val="006A5CC3"/>
    <w:rsid w:val="006B0EA6"/>
    <w:rsid w:val="006B4B39"/>
    <w:rsid w:val="006D0BFB"/>
    <w:rsid w:val="006E23CA"/>
    <w:rsid w:val="00703211"/>
    <w:rsid w:val="00704DA5"/>
    <w:rsid w:val="00711F55"/>
    <w:rsid w:val="0072026A"/>
    <w:rsid w:val="00730D17"/>
    <w:rsid w:val="00741483"/>
    <w:rsid w:val="007508F0"/>
    <w:rsid w:val="00751A8E"/>
    <w:rsid w:val="00757647"/>
    <w:rsid w:val="00763312"/>
    <w:rsid w:val="00767880"/>
    <w:rsid w:val="00772478"/>
    <w:rsid w:val="007824C8"/>
    <w:rsid w:val="00787489"/>
    <w:rsid w:val="007A1C88"/>
    <w:rsid w:val="007A5E69"/>
    <w:rsid w:val="007A7CCF"/>
    <w:rsid w:val="007A7DCB"/>
    <w:rsid w:val="007B064F"/>
    <w:rsid w:val="007B09EE"/>
    <w:rsid w:val="007B73A5"/>
    <w:rsid w:val="007C4810"/>
    <w:rsid w:val="007C7623"/>
    <w:rsid w:val="007D2098"/>
    <w:rsid w:val="007D569B"/>
    <w:rsid w:val="007D5E27"/>
    <w:rsid w:val="007D7345"/>
    <w:rsid w:val="007E0629"/>
    <w:rsid w:val="007E0BA2"/>
    <w:rsid w:val="007F1657"/>
    <w:rsid w:val="007F3B69"/>
    <w:rsid w:val="007F7F64"/>
    <w:rsid w:val="008107AA"/>
    <w:rsid w:val="00825DE3"/>
    <w:rsid w:val="00834F9D"/>
    <w:rsid w:val="0084393B"/>
    <w:rsid w:val="00846D8F"/>
    <w:rsid w:val="00857C3D"/>
    <w:rsid w:val="00867D51"/>
    <w:rsid w:val="00877578"/>
    <w:rsid w:val="008A166C"/>
    <w:rsid w:val="008B2E75"/>
    <w:rsid w:val="008B455E"/>
    <w:rsid w:val="008B6297"/>
    <w:rsid w:val="008C58B1"/>
    <w:rsid w:val="008C7162"/>
    <w:rsid w:val="008D4F00"/>
    <w:rsid w:val="008D723E"/>
    <w:rsid w:val="008E1F05"/>
    <w:rsid w:val="008E3828"/>
    <w:rsid w:val="008E7880"/>
    <w:rsid w:val="008F713C"/>
    <w:rsid w:val="00900EF4"/>
    <w:rsid w:val="009106F9"/>
    <w:rsid w:val="009109BC"/>
    <w:rsid w:val="009125AD"/>
    <w:rsid w:val="00920560"/>
    <w:rsid w:val="00922789"/>
    <w:rsid w:val="00923B8F"/>
    <w:rsid w:val="009249B0"/>
    <w:rsid w:val="0092733B"/>
    <w:rsid w:val="009370BB"/>
    <w:rsid w:val="0093744A"/>
    <w:rsid w:val="009405FF"/>
    <w:rsid w:val="00943E96"/>
    <w:rsid w:val="00946573"/>
    <w:rsid w:val="00947C70"/>
    <w:rsid w:val="00952589"/>
    <w:rsid w:val="00953A3E"/>
    <w:rsid w:val="009708CA"/>
    <w:rsid w:val="00972B28"/>
    <w:rsid w:val="0097302C"/>
    <w:rsid w:val="00981FD1"/>
    <w:rsid w:val="00986400"/>
    <w:rsid w:val="009946B4"/>
    <w:rsid w:val="009A438E"/>
    <w:rsid w:val="009A5DF3"/>
    <w:rsid w:val="009B3E2B"/>
    <w:rsid w:val="009B5D19"/>
    <w:rsid w:val="009C6F97"/>
    <w:rsid w:val="009D4F8E"/>
    <w:rsid w:val="009D694A"/>
    <w:rsid w:val="009E155B"/>
    <w:rsid w:val="009F1E2C"/>
    <w:rsid w:val="009F1EC5"/>
    <w:rsid w:val="009F2949"/>
    <w:rsid w:val="009F5CAA"/>
    <w:rsid w:val="009F7186"/>
    <w:rsid w:val="009F7C1B"/>
    <w:rsid w:val="00A00164"/>
    <w:rsid w:val="00A04672"/>
    <w:rsid w:val="00A10BFD"/>
    <w:rsid w:val="00A13449"/>
    <w:rsid w:val="00A172F1"/>
    <w:rsid w:val="00A20AF6"/>
    <w:rsid w:val="00A22668"/>
    <w:rsid w:val="00A248D5"/>
    <w:rsid w:val="00A25AA2"/>
    <w:rsid w:val="00A3722C"/>
    <w:rsid w:val="00A41893"/>
    <w:rsid w:val="00A43C4D"/>
    <w:rsid w:val="00A4437A"/>
    <w:rsid w:val="00A4609A"/>
    <w:rsid w:val="00A70A68"/>
    <w:rsid w:val="00A70AC0"/>
    <w:rsid w:val="00A80956"/>
    <w:rsid w:val="00A8524C"/>
    <w:rsid w:val="00A9300C"/>
    <w:rsid w:val="00A94C35"/>
    <w:rsid w:val="00AA07B9"/>
    <w:rsid w:val="00AB109E"/>
    <w:rsid w:val="00AC440E"/>
    <w:rsid w:val="00AD50CB"/>
    <w:rsid w:val="00AF3AD2"/>
    <w:rsid w:val="00AF52C4"/>
    <w:rsid w:val="00B07879"/>
    <w:rsid w:val="00B20091"/>
    <w:rsid w:val="00B21518"/>
    <w:rsid w:val="00B25DB8"/>
    <w:rsid w:val="00B26371"/>
    <w:rsid w:val="00B423C4"/>
    <w:rsid w:val="00B4245D"/>
    <w:rsid w:val="00B52EAA"/>
    <w:rsid w:val="00B552AD"/>
    <w:rsid w:val="00B6367A"/>
    <w:rsid w:val="00B65478"/>
    <w:rsid w:val="00B675E6"/>
    <w:rsid w:val="00BA0705"/>
    <w:rsid w:val="00BA38D4"/>
    <w:rsid w:val="00BA44C1"/>
    <w:rsid w:val="00BA5284"/>
    <w:rsid w:val="00BB3A03"/>
    <w:rsid w:val="00BB54CD"/>
    <w:rsid w:val="00BD2549"/>
    <w:rsid w:val="00BD26B7"/>
    <w:rsid w:val="00BE1160"/>
    <w:rsid w:val="00BF49B0"/>
    <w:rsid w:val="00BF5E1D"/>
    <w:rsid w:val="00C02519"/>
    <w:rsid w:val="00C06D83"/>
    <w:rsid w:val="00C11FAC"/>
    <w:rsid w:val="00C269FD"/>
    <w:rsid w:val="00C3264D"/>
    <w:rsid w:val="00C4018E"/>
    <w:rsid w:val="00C47F47"/>
    <w:rsid w:val="00C5298B"/>
    <w:rsid w:val="00C60459"/>
    <w:rsid w:val="00C63C4C"/>
    <w:rsid w:val="00C656F1"/>
    <w:rsid w:val="00C65AE3"/>
    <w:rsid w:val="00C83BFC"/>
    <w:rsid w:val="00C83F58"/>
    <w:rsid w:val="00C9132E"/>
    <w:rsid w:val="00C94D21"/>
    <w:rsid w:val="00CB3027"/>
    <w:rsid w:val="00CC5505"/>
    <w:rsid w:val="00CD5923"/>
    <w:rsid w:val="00CD66B3"/>
    <w:rsid w:val="00CE5198"/>
    <w:rsid w:val="00CF7923"/>
    <w:rsid w:val="00D125E5"/>
    <w:rsid w:val="00D14ED5"/>
    <w:rsid w:val="00D31EF5"/>
    <w:rsid w:val="00D45B17"/>
    <w:rsid w:val="00D6007A"/>
    <w:rsid w:val="00D8633B"/>
    <w:rsid w:val="00D87494"/>
    <w:rsid w:val="00D9088E"/>
    <w:rsid w:val="00D93B55"/>
    <w:rsid w:val="00D96990"/>
    <w:rsid w:val="00DA0327"/>
    <w:rsid w:val="00DA231B"/>
    <w:rsid w:val="00DA41D9"/>
    <w:rsid w:val="00DC0C09"/>
    <w:rsid w:val="00DC3C9F"/>
    <w:rsid w:val="00DE115B"/>
    <w:rsid w:val="00DE1C5F"/>
    <w:rsid w:val="00DF46F5"/>
    <w:rsid w:val="00E02947"/>
    <w:rsid w:val="00E03AE1"/>
    <w:rsid w:val="00E07D3A"/>
    <w:rsid w:val="00E23D84"/>
    <w:rsid w:val="00E277E4"/>
    <w:rsid w:val="00E278A2"/>
    <w:rsid w:val="00E3357B"/>
    <w:rsid w:val="00E362AB"/>
    <w:rsid w:val="00E5016B"/>
    <w:rsid w:val="00E5213E"/>
    <w:rsid w:val="00E613AC"/>
    <w:rsid w:val="00E63D04"/>
    <w:rsid w:val="00E73F0E"/>
    <w:rsid w:val="00E77B91"/>
    <w:rsid w:val="00E77BC3"/>
    <w:rsid w:val="00E91771"/>
    <w:rsid w:val="00EA1B28"/>
    <w:rsid w:val="00EA2A0B"/>
    <w:rsid w:val="00EB2ECF"/>
    <w:rsid w:val="00EB5D99"/>
    <w:rsid w:val="00EB7AEF"/>
    <w:rsid w:val="00EC1FD4"/>
    <w:rsid w:val="00EF5561"/>
    <w:rsid w:val="00F01B7C"/>
    <w:rsid w:val="00F05395"/>
    <w:rsid w:val="00F16A5E"/>
    <w:rsid w:val="00F25083"/>
    <w:rsid w:val="00F47E98"/>
    <w:rsid w:val="00F50502"/>
    <w:rsid w:val="00F568D0"/>
    <w:rsid w:val="00F578F1"/>
    <w:rsid w:val="00F60433"/>
    <w:rsid w:val="00F66F43"/>
    <w:rsid w:val="00F94459"/>
    <w:rsid w:val="00FA31D1"/>
    <w:rsid w:val="00FA37FD"/>
    <w:rsid w:val="00FA471B"/>
    <w:rsid w:val="00FA54B1"/>
    <w:rsid w:val="00FA5BC7"/>
    <w:rsid w:val="00FB254E"/>
    <w:rsid w:val="00FB2EFC"/>
    <w:rsid w:val="00FC1C23"/>
    <w:rsid w:val="00FC3D57"/>
    <w:rsid w:val="00FC7FB1"/>
    <w:rsid w:val="00FD4F37"/>
    <w:rsid w:val="00FE49C0"/>
    <w:rsid w:val="00FF0769"/>
    <w:rsid w:val="00FF5752"/>
    <w:rsid w:val="00FF7545"/>
    <w:rsid w:val="089B29F6"/>
    <w:rsid w:val="0CBE0A7C"/>
    <w:rsid w:val="0D1224FE"/>
    <w:rsid w:val="0FF70F05"/>
    <w:rsid w:val="23901DA2"/>
    <w:rsid w:val="24581952"/>
    <w:rsid w:val="2AAE2FAC"/>
    <w:rsid w:val="2CCE415D"/>
    <w:rsid w:val="309C6364"/>
    <w:rsid w:val="328635FF"/>
    <w:rsid w:val="3647020D"/>
    <w:rsid w:val="382530F6"/>
    <w:rsid w:val="3E5A7278"/>
    <w:rsid w:val="3F1332E9"/>
    <w:rsid w:val="42AC77D2"/>
    <w:rsid w:val="46E035CD"/>
    <w:rsid w:val="4F4806DA"/>
    <w:rsid w:val="4FD800F8"/>
    <w:rsid w:val="50346C25"/>
    <w:rsid w:val="51A526C9"/>
    <w:rsid w:val="5C676687"/>
    <w:rsid w:val="5FD643A2"/>
    <w:rsid w:val="65BF32A9"/>
    <w:rsid w:val="67157808"/>
    <w:rsid w:val="672450DC"/>
    <w:rsid w:val="6E236C9A"/>
    <w:rsid w:val="6FF2261A"/>
    <w:rsid w:val="70380B7F"/>
    <w:rsid w:val="73FB9123"/>
    <w:rsid w:val="7910199C"/>
    <w:rsid w:val="7E3B13EC"/>
    <w:rsid w:val="7EFF2B43"/>
    <w:rsid w:val="7FD5486C"/>
    <w:rsid w:val="7FDBD43F"/>
    <w:rsid w:val="976DAC5D"/>
    <w:rsid w:val="ABEC84B1"/>
    <w:rsid w:val="BEEEA857"/>
    <w:rsid w:val="DA6D5FB2"/>
    <w:rsid w:val="E57EA7EE"/>
    <w:rsid w:val="F3BFB8B8"/>
    <w:rsid w:val="F5FB70A3"/>
    <w:rsid w:val="FEEBD039"/>
    <w:rsid w:val="FFB97B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1"/>
    <w:qFormat/>
    <w:uiPriority w:val="0"/>
    <w:pPr>
      <w:keepNext/>
      <w:keepLines/>
      <w:spacing w:before="260" w:after="260"/>
      <w:outlineLvl w:val="1"/>
    </w:pPr>
    <w:rPr>
      <w:rFonts w:ascii="Arial" w:hAnsi="Arial" w:eastAsia="仿宋_GB2312"/>
      <w:b/>
      <w:bCs/>
      <w:sz w:val="36"/>
      <w:szCs w:val="32"/>
    </w:rPr>
  </w:style>
  <w:style w:type="paragraph" w:styleId="3">
    <w:name w:val="heading 3"/>
    <w:basedOn w:val="1"/>
    <w:next w:val="1"/>
    <w:link w:val="12"/>
    <w:qFormat/>
    <w:uiPriority w:val="0"/>
    <w:pPr>
      <w:keepNext/>
      <w:keepLines/>
      <w:spacing w:before="260" w:after="260"/>
      <w:outlineLvl w:val="2"/>
    </w:pPr>
    <w:rPr>
      <w:rFonts w:ascii="宋体"/>
      <w:b/>
      <w:bCs/>
      <w:sz w:val="28"/>
      <w:szCs w:val="30"/>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8">
    <w:name w:val="page number"/>
    <w:basedOn w:val="7"/>
    <w:qFormat/>
    <w:uiPriority w:val="0"/>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0"/>
    <w:rPr>
      <w:sz w:val="18"/>
      <w:szCs w:val="18"/>
    </w:rPr>
  </w:style>
  <w:style w:type="character" w:customStyle="1" w:styleId="11">
    <w:name w:val="标题 2 Char"/>
    <w:basedOn w:val="7"/>
    <w:link w:val="2"/>
    <w:qFormat/>
    <w:uiPriority w:val="0"/>
    <w:rPr>
      <w:rFonts w:ascii="Arial" w:hAnsi="Arial" w:eastAsia="仿宋_GB2312" w:cs="Times New Roman"/>
      <w:b/>
      <w:bCs/>
      <w:sz w:val="36"/>
      <w:szCs w:val="32"/>
    </w:rPr>
  </w:style>
  <w:style w:type="character" w:customStyle="1" w:styleId="12">
    <w:name w:val="标题 3 Char"/>
    <w:basedOn w:val="7"/>
    <w:link w:val="3"/>
    <w:qFormat/>
    <w:uiPriority w:val="0"/>
    <w:rPr>
      <w:rFonts w:ascii="宋体" w:hAnsi="Times New Roman" w:eastAsia="宋体" w:cs="Times New Roman"/>
      <w:b/>
      <w:bCs/>
      <w:sz w:val="28"/>
      <w:szCs w:val="3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92</Words>
  <Characters>530</Characters>
  <Lines>4</Lines>
  <Paragraphs>1</Paragraphs>
  <TotalTime>24</TotalTime>
  <ScaleCrop>false</ScaleCrop>
  <LinksUpToDate>false</LinksUpToDate>
  <CharactersWithSpaces>621</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2018-01-14T15:42:00Z</dcterms:created>
  <dc:creator>刘涛2</dc:creator>
  <cp:lastModifiedBy>LT</cp:lastModifiedBy>
  <cp:lastPrinted>2026-05-14T07:42:00Z</cp:lastPrinted>
  <dcterms:modified xsi:type="dcterms:W3CDTF">2026-09-17T15:36:31Z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6EF561B54689A7724FDA026A0ACDBB76_43</vt:lpwstr>
  </property>
</Properties>
</file>